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noProof/>
        </w:rPr>
        <w:id w:val="1971093791"/>
        <w:docPartObj>
          <w:docPartGallery w:val="Cover Pages"/>
          <w:docPartUnique/>
        </w:docPartObj>
      </w:sdtPr>
      <w:sdtEndPr>
        <w:rPr>
          <w:noProof w:val="0"/>
          <w:sz w:val="2"/>
          <w:szCs w:val="2"/>
        </w:rPr>
      </w:sdtEndPr>
      <w:sdtContent>
        <w:tbl>
          <w:tblPr>
            <w:tblStyle w:val="LayoutGrid"/>
            <w:tblpPr w:leftFromText="181" w:rightFromText="181" w:vertAnchor="page" w:horzAnchor="page" w:tblpX="568" w:tblpY="568"/>
            <w:tblOverlap w:val="never"/>
            <w:tblW w:w="5571" w:type="pct"/>
            <w:tblLayout w:type="fixed"/>
            <w:tblLook w:val="04A0" w:firstRow="1" w:lastRow="0" w:firstColumn="1" w:lastColumn="0" w:noHBand="0" w:noVBand="1"/>
          </w:tblPr>
          <w:tblGrid>
            <w:gridCol w:w="6397"/>
            <w:gridCol w:w="2156"/>
            <w:gridCol w:w="2186"/>
          </w:tblGrid>
          <w:tr w:rsidR="00E92D77" w14:paraId="42939467" w14:textId="77777777" w:rsidTr="00B054F5">
            <w:trPr>
              <w:trHeight w:val="8731"/>
            </w:trPr>
            <w:tc>
              <w:tcPr>
                <w:tcW w:w="10739" w:type="dxa"/>
                <w:gridSpan w:val="3"/>
              </w:tcPr>
              <w:p w14:paraId="214080A2" w14:textId="0DC6D8C7" w:rsidR="00E92D77" w:rsidRDefault="00C65658" w:rsidP="000B2723">
                <w:pPr>
                  <w:pStyle w:val="NoSpacing"/>
                  <w:rPr>
                    <w:noProof/>
                  </w:rPr>
                </w:pPr>
                <w:r>
                  <w:rPr>
                    <w:noProof/>
                  </w:rPr>
                  <w:drawing>
                    <wp:anchor distT="0" distB="0" distL="114300" distR="114300" simplePos="0" relativeHeight="251665408" behindDoc="0" locked="0" layoutInCell="1" allowOverlap="1" wp14:anchorId="1FEE114D" wp14:editId="71EBBB19">
                      <wp:simplePos x="0" y="0"/>
                      <wp:positionH relativeFrom="column">
                        <wp:posOffset>5422795</wp:posOffset>
                      </wp:positionH>
                      <wp:positionV relativeFrom="paragraph">
                        <wp:posOffset>5633720</wp:posOffset>
                      </wp:positionV>
                      <wp:extent cx="1396721" cy="1396721"/>
                      <wp:effectExtent l="0" t="0" r="0" b="0"/>
                      <wp:wrapNone/>
                      <wp:docPr id="86369262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1"/>
                              <a:stretch>
                                <a:fillRect/>
                              </a:stretch>
                            </pic:blipFill>
                            <pic:spPr>
                              <a:xfrm>
                                <a:off x="0" y="0"/>
                                <a:ext cx="1396721" cy="1396721"/>
                              </a:xfrm>
                              <a:prstGeom prst="rect">
                                <a:avLst/>
                              </a:prstGeom>
                            </pic:spPr>
                          </pic:pic>
                        </a:graphicData>
                      </a:graphic>
                      <wp14:sizeRelH relativeFrom="margin">
                        <wp14:pctWidth>0</wp14:pctWidth>
                      </wp14:sizeRelH>
                      <wp14:sizeRelV relativeFrom="margin">
                        <wp14:pctHeight>0</wp14:pctHeight>
                      </wp14:sizeRelV>
                    </wp:anchor>
                  </w:drawing>
                </w:r>
                <w:r w:rsidR="00E92D77">
                  <w:rPr>
                    <w:noProof/>
                  </w:rPr>
                  <w:drawing>
                    <wp:inline distT="0" distB="0" distL="0" distR="0" wp14:anchorId="0D7DF4E6" wp14:editId="4535B391">
                      <wp:extent cx="7044213" cy="5639598"/>
                      <wp:effectExtent l="0" t="0" r="4445" b="0"/>
                      <wp:docPr id="269538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38856" name="Picture 5"/>
                              <pic:cNvPicPr/>
                            </pic:nvPicPr>
                            <pic:blipFill>
                              <a:blip r:embed="rId12"/>
                              <a:srcRect l="8344" r="8344"/>
                              <a:stretch>
                                <a:fillRect/>
                              </a:stretch>
                            </pic:blipFill>
                            <pic:spPr bwMode="auto">
                              <a:xfrm>
                                <a:off x="0" y="0"/>
                                <a:ext cx="7044213" cy="5639598"/>
                              </a:xfrm>
                              <a:prstGeom prst="rect">
                                <a:avLst/>
                              </a:prstGeom>
                              <a:ln>
                                <a:noFill/>
                              </a:ln>
                              <a:extLst>
                                <a:ext uri="{53640926-AAD7-44D8-BBD7-CCE9431645EC}">
                                  <a14:shadowObscured xmlns:a14="http://schemas.microsoft.com/office/drawing/2010/main"/>
                                </a:ext>
                              </a:extLst>
                            </pic:spPr>
                          </pic:pic>
                        </a:graphicData>
                      </a:graphic>
                    </wp:inline>
                  </w:drawing>
                </w:r>
              </w:p>
            </w:tc>
          </w:tr>
          <w:tr w:rsidR="00E92D77" w14:paraId="2817BDB0" w14:textId="77777777" w:rsidTr="00A835BA">
            <w:trPr>
              <w:trHeight w:hRule="exact" w:val="2143"/>
            </w:trPr>
            <w:tc>
              <w:tcPr>
                <w:tcW w:w="6397" w:type="dxa"/>
                <w:shd w:val="clear" w:color="auto" w:fill="000F46" w:themeFill="background2"/>
                <w:vAlign w:val="bottom"/>
              </w:tcPr>
              <w:p w14:paraId="32B10D2F" w14:textId="03C1FE91" w:rsidR="00E92D77" w:rsidRPr="00935D09" w:rsidRDefault="00E92D77" w:rsidP="003277C2"/>
            </w:tc>
            <w:tc>
              <w:tcPr>
                <w:tcW w:w="2156" w:type="dxa"/>
                <w:shd w:val="clear" w:color="auto" w:fill="CEE26E" w:themeFill="accent5" w:themeFillTint="99"/>
              </w:tcPr>
              <w:p w14:paraId="4D538EC7" w14:textId="5AB5A8F0" w:rsidR="00E92D77" w:rsidRDefault="00E92D77" w:rsidP="00C65658">
                <w:pPr>
                  <w:pStyle w:val="Identifier"/>
                  <w:framePr w:hSpace="0" w:wrap="auto" w:vAnchor="margin" w:hAnchor="text" w:xAlign="left" w:yAlign="inline"/>
                  <w:spacing w:line="360" w:lineRule="auto"/>
                  <w:suppressOverlap w:val="0"/>
                </w:pPr>
                <w:r>
                  <w:t>Centre for the Study of Higher Education</w:t>
                </w:r>
              </w:p>
            </w:tc>
            <w:tc>
              <w:tcPr>
                <w:tcW w:w="2186" w:type="dxa"/>
                <w:shd w:val="clear" w:color="auto" w:fill="F2F2F2" w:themeFill="background1" w:themeFillShade="F2"/>
              </w:tcPr>
              <w:p w14:paraId="199945CE" w14:textId="483E015B" w:rsidR="00E92D77" w:rsidRDefault="00E92D77" w:rsidP="003277C2">
                <w:pPr>
                  <w:pStyle w:val="NoSpacing"/>
                  <w:jc w:val="right"/>
                </w:pPr>
              </w:p>
            </w:tc>
          </w:tr>
          <w:tr w:rsidR="009A0A1F" w14:paraId="66CD6C58" w14:textId="77777777" w:rsidTr="007A7C3A">
            <w:trPr>
              <w:trHeight w:hRule="exact" w:val="4569"/>
            </w:trPr>
            <w:tc>
              <w:tcPr>
                <w:tcW w:w="10739" w:type="dxa"/>
                <w:gridSpan w:val="3"/>
                <w:shd w:val="clear" w:color="auto" w:fill="000F46" w:themeFill="background2"/>
                <w:vAlign w:val="bottom"/>
              </w:tcPr>
              <w:p w14:paraId="1E768A81" w14:textId="77777777" w:rsidR="007A7C3A" w:rsidRPr="00A835BA" w:rsidRDefault="001A4EA2" w:rsidP="00D87C52">
                <w:pPr>
                  <w:spacing w:before="0" w:after="0" w:line="276" w:lineRule="auto"/>
                  <w:rPr>
                    <w:rFonts w:ascii="Georgia" w:hAnsi="Georgia"/>
                    <w:color w:val="CEE26E" w:themeColor="accent5" w:themeTint="99"/>
                    <w:sz w:val="84"/>
                    <w:szCs w:val="84"/>
                  </w:rPr>
                </w:pPr>
                <w:r>
                  <w:rPr>
                    <w:rFonts w:ascii="Georgia" w:hAnsi="Georgia"/>
                    <w:color w:val="46C8F0" w:themeColor="accent2"/>
                    <w:sz w:val="84"/>
                    <w:szCs w:val="84"/>
                  </w:rPr>
                  <w:t xml:space="preserve"> </w:t>
                </w:r>
                <w:r w:rsidR="007A7C3A" w:rsidRPr="00A835BA">
                  <w:rPr>
                    <w:rFonts w:ascii="Georgia" w:hAnsi="Georgia"/>
                    <w:color w:val="CEE26E" w:themeColor="accent5" w:themeTint="99"/>
                    <w:sz w:val="84"/>
                    <w:szCs w:val="84"/>
                  </w:rPr>
                  <w:t xml:space="preserve">Interactive Oral   </w:t>
                </w:r>
              </w:p>
              <w:p w14:paraId="1E08C790" w14:textId="3D9B487C" w:rsidR="001A4EA2" w:rsidRPr="00A835BA" w:rsidRDefault="007A7C3A" w:rsidP="00D87C52">
                <w:pPr>
                  <w:spacing w:before="0" w:after="0" w:line="276" w:lineRule="auto"/>
                  <w:rPr>
                    <w:rFonts w:ascii="Georgia" w:hAnsi="Georgia"/>
                    <w:color w:val="CEE26E" w:themeColor="accent5" w:themeTint="99"/>
                    <w:sz w:val="84"/>
                    <w:szCs w:val="84"/>
                  </w:rPr>
                </w:pPr>
                <w:r w:rsidRPr="00A835BA">
                  <w:rPr>
                    <w:rFonts w:ascii="Georgia" w:hAnsi="Georgia"/>
                    <w:color w:val="CEE26E" w:themeColor="accent5" w:themeTint="99"/>
                    <w:sz w:val="84"/>
                    <w:szCs w:val="84"/>
                  </w:rPr>
                  <w:t xml:space="preserve"> Assessments</w:t>
                </w:r>
              </w:p>
              <w:p w14:paraId="0089409E" w14:textId="6949B9BB" w:rsidR="007A7C3A" w:rsidRPr="00D87C52" w:rsidRDefault="007A7C3A" w:rsidP="00D87C52">
                <w:pPr>
                  <w:spacing w:before="0" w:after="0" w:line="276" w:lineRule="auto"/>
                  <w:rPr>
                    <w:rFonts w:ascii="Georgia" w:hAnsi="Georgia" w:cstheme="minorHAnsi"/>
                    <w:i/>
                    <w:iCs/>
                    <w:color w:val="46C8F0" w:themeColor="accent2"/>
                    <w:sz w:val="52"/>
                    <w:szCs w:val="52"/>
                  </w:rPr>
                </w:pPr>
                <w:r>
                  <w:rPr>
                    <w:rFonts w:ascii="Georgia" w:hAnsi="Georgia"/>
                    <w:color w:val="46C8F0" w:themeColor="accent2"/>
                    <w:sz w:val="84"/>
                    <w:szCs w:val="84"/>
                  </w:rPr>
                  <w:t xml:space="preserve"> </w:t>
                </w:r>
                <w:r w:rsidRPr="00D87C52">
                  <w:rPr>
                    <w:rFonts w:ascii="Georgia" w:hAnsi="Georgia" w:cstheme="minorHAnsi"/>
                    <w:i/>
                    <w:iCs/>
                    <w:color w:val="EEF5CE" w:themeColor="accent5" w:themeTint="33"/>
                    <w:sz w:val="52"/>
                    <w:szCs w:val="52"/>
                  </w:rPr>
                  <w:t>A Guide for Educators</w:t>
                </w:r>
              </w:p>
              <w:p w14:paraId="70FA4182" w14:textId="2A8433B3" w:rsidR="00A835BA" w:rsidRPr="00D87C52" w:rsidRDefault="001A4EA2" w:rsidP="00A835BA">
                <w:pPr>
                  <w:spacing w:after="0" w:line="240" w:lineRule="auto"/>
                  <w:rPr>
                    <w:rFonts w:ascii="Arial" w:hAnsi="Arial" w:cs="Arial"/>
                    <w:b/>
                    <w:bCs/>
                    <w:color w:val="FFFFFF" w:themeColor="background1"/>
                    <w:sz w:val="24"/>
                    <w:szCs w:val="24"/>
                  </w:rPr>
                </w:pPr>
                <w:r>
                  <w:rPr>
                    <w:rFonts w:ascii="Arial" w:hAnsi="Arial" w:cs="Arial"/>
                    <w:color w:val="46C8F0" w:themeColor="accent2"/>
                    <w:sz w:val="84"/>
                    <w:szCs w:val="84"/>
                  </w:rPr>
                  <w:t xml:space="preserve"> </w:t>
                </w:r>
                <w:r w:rsidR="007A7C3A" w:rsidRPr="00D87C52">
                  <w:rPr>
                    <w:rFonts w:ascii="Arial" w:hAnsi="Arial" w:cs="Arial"/>
                    <w:b/>
                    <w:bCs/>
                    <w:color w:val="FFFFFF" w:themeColor="background1"/>
                    <w:sz w:val="24"/>
                    <w:szCs w:val="24"/>
                  </w:rPr>
                  <w:t>Tracii Ryan, Chris Ziguras &amp; Raoul Mulder</w:t>
                </w:r>
              </w:p>
              <w:p w14:paraId="31D4D836" w14:textId="28F2E3BD" w:rsidR="00AF7866" w:rsidRPr="00AE7A62" w:rsidRDefault="00AF7866" w:rsidP="00A835BA">
                <w:pPr>
                  <w:spacing w:after="0" w:line="480" w:lineRule="auto"/>
                  <w:rPr>
                    <w:rFonts w:ascii="Arial" w:hAnsi="Arial" w:cs="Arial"/>
                    <w:sz w:val="24"/>
                    <w:szCs w:val="24"/>
                  </w:rPr>
                </w:pPr>
                <w:r w:rsidRPr="00D87C52">
                  <w:rPr>
                    <w:rFonts w:ascii="Arial" w:hAnsi="Arial" w:cs="Arial"/>
                    <w:color w:val="FFFFFF" w:themeColor="background1"/>
                    <w:sz w:val="24"/>
                    <w:szCs w:val="24"/>
                  </w:rPr>
                  <w:t xml:space="preserve">   </w:t>
                </w:r>
                <w:r w:rsidR="00A835BA" w:rsidRPr="00D87C52">
                  <w:rPr>
                    <w:rFonts w:ascii="Arial" w:hAnsi="Arial" w:cs="Arial"/>
                    <w:color w:val="FFFFFF" w:themeColor="background1"/>
                    <w:sz w:val="24"/>
                    <w:szCs w:val="24"/>
                  </w:rPr>
                  <w:t>July 2025</w:t>
                </w:r>
              </w:p>
            </w:tc>
          </w:tr>
        </w:tbl>
        <w:p w14:paraId="7A183388" w14:textId="762F59CC" w:rsidR="00E92D77" w:rsidRPr="00B054F5" w:rsidRDefault="00000000" w:rsidP="00B054F5">
          <w:pPr>
            <w:pStyle w:val="NoSpacing"/>
            <w:rPr>
              <w:sz w:val="2"/>
              <w:szCs w:val="2"/>
            </w:rPr>
          </w:pPr>
        </w:p>
      </w:sdtContent>
    </w:sdt>
    <w:p w14:paraId="1C22A83D" w14:textId="12F23741" w:rsidR="00A835BA" w:rsidRPr="00D422DF" w:rsidRDefault="00A835BA" w:rsidP="004668A4">
      <w:pPr>
        <w:rPr>
          <w:rFonts w:ascii="Georgia" w:eastAsiaTheme="majorEastAsia" w:hAnsi="Georgia" w:cstheme="majorBidi"/>
          <w:b/>
          <w:szCs w:val="21"/>
        </w:rPr>
      </w:pPr>
      <w:r w:rsidRPr="00D422DF">
        <w:rPr>
          <w:szCs w:val="21"/>
        </w:rPr>
        <w:lastRenderedPageBreak/>
        <w:t xml:space="preserve">Interactive Oral Assessments (IOAs) offer a dynamic and authentic approach to learning and assessment that can be effectively applied across a range of disciplines. When carefully integrated into the curriculum, IOAs can support deeper student learning, foster the development of key graduate capabilities, and promote academic integrity by providing clear evidence of individual learning. While implementing IOAs may present logistical and pedagogical challenges—such as scheduling, ensuring consistency of marking, providing equitable access, and the need to manage educator workload —these can often be mitigated through careful planning, thoughtful design and appropriate levels of institutional support and resourcing. This guide aims to support educators in leveraging the benefits of IOAs by offering practical advice for design and delivery. </w:t>
      </w:r>
    </w:p>
    <w:tbl>
      <w:tblPr>
        <w:tblpPr w:leftFromText="180" w:rightFromText="180" w:vertAnchor="page" w:horzAnchor="margin" w:tblpY="4771"/>
        <w:tblW w:w="5001" w:type="pct"/>
        <w:shd w:val="clear" w:color="auto" w:fill="ABC1A7"/>
        <w:tblLayout w:type="fixed"/>
        <w:tblCellMar>
          <w:left w:w="57" w:type="dxa"/>
        </w:tblCellMar>
        <w:tblLook w:val="04A0" w:firstRow="1" w:lastRow="0" w:firstColumn="1" w:lastColumn="0" w:noHBand="0" w:noVBand="1"/>
      </w:tblPr>
      <w:tblGrid>
        <w:gridCol w:w="9640"/>
      </w:tblGrid>
      <w:tr w:rsidR="00A835BA" w:rsidRPr="00A835BA" w14:paraId="4E1B7BF9" w14:textId="77777777" w:rsidTr="00C77EF5">
        <w:trPr>
          <w:trHeight w:val="10486"/>
        </w:trPr>
        <w:tc>
          <w:tcPr>
            <w:tcW w:w="9640" w:type="dxa"/>
            <w:shd w:val="clear" w:color="auto" w:fill="EEF5CE" w:themeFill="accent5" w:themeFillTint="33"/>
            <w:tcMar>
              <w:left w:w="284" w:type="dxa"/>
            </w:tcMar>
            <w:vAlign w:val="center"/>
          </w:tcPr>
          <w:p w14:paraId="7062A0C4" w14:textId="77777777" w:rsidR="00A835BA" w:rsidRPr="00C77EF5" w:rsidRDefault="00A835BA" w:rsidP="00A835BA">
            <w:pPr>
              <w:pStyle w:val="Heading1"/>
              <w:rPr>
                <w:szCs w:val="28"/>
              </w:rPr>
            </w:pPr>
            <w:r w:rsidRPr="00C77EF5">
              <w:rPr>
                <w:szCs w:val="28"/>
              </w:rPr>
              <w:t>Key Points</w:t>
            </w:r>
          </w:p>
          <w:p w14:paraId="479AE141" w14:textId="77777777" w:rsidR="00C77EF5" w:rsidRPr="00D422DF" w:rsidRDefault="00C77EF5" w:rsidP="00C77EF5">
            <w:pPr>
              <w:spacing w:after="0" w:line="240" w:lineRule="auto"/>
              <w:rPr>
                <w:rFonts w:ascii="Arial" w:hAnsi="Arial" w:cs="Arial"/>
                <w:szCs w:val="21"/>
              </w:rPr>
            </w:pPr>
            <w:r w:rsidRPr="00D422DF">
              <w:rPr>
                <w:rFonts w:ascii="Arial" w:hAnsi="Arial" w:cs="Arial"/>
                <w:b/>
                <w:bCs/>
                <w:szCs w:val="21"/>
              </w:rPr>
              <w:t>Overview</w:t>
            </w:r>
            <w:r w:rsidRPr="00D422DF">
              <w:rPr>
                <w:rFonts w:ascii="Arial" w:hAnsi="Arial" w:cs="Arial"/>
                <w:szCs w:val="21"/>
              </w:rPr>
              <w:t>:</w:t>
            </w:r>
          </w:p>
          <w:p w14:paraId="1BC04312" w14:textId="77777777" w:rsidR="00C77EF5" w:rsidRPr="00D422DF" w:rsidRDefault="00C77EF5" w:rsidP="00C77EF5">
            <w:pPr>
              <w:numPr>
                <w:ilvl w:val="0"/>
                <w:numId w:val="40"/>
              </w:numPr>
              <w:suppressAutoHyphens w:val="0"/>
              <w:spacing w:before="0" w:after="0" w:line="240" w:lineRule="auto"/>
              <w:rPr>
                <w:rFonts w:ascii="Arial" w:hAnsi="Arial" w:cs="Arial"/>
                <w:szCs w:val="21"/>
              </w:rPr>
            </w:pPr>
            <w:r w:rsidRPr="00D422DF">
              <w:rPr>
                <w:rFonts w:ascii="Arial" w:hAnsi="Arial" w:cs="Arial"/>
                <w:szCs w:val="21"/>
              </w:rPr>
              <w:t xml:space="preserve">IOAs are authentic and experiential assessments involving real-time unscripted conversations between students and assessors. </w:t>
            </w:r>
          </w:p>
          <w:p w14:paraId="74EC8951" w14:textId="2B3CDF98" w:rsidR="00C77EF5" w:rsidRPr="00D422DF" w:rsidRDefault="00C77EF5" w:rsidP="00C77EF5">
            <w:pPr>
              <w:numPr>
                <w:ilvl w:val="0"/>
                <w:numId w:val="40"/>
              </w:numPr>
              <w:suppressAutoHyphens w:val="0"/>
              <w:spacing w:before="0" w:after="0" w:line="240" w:lineRule="auto"/>
              <w:rPr>
                <w:rFonts w:ascii="Arial" w:hAnsi="Arial" w:cs="Arial"/>
                <w:szCs w:val="21"/>
              </w:rPr>
            </w:pPr>
            <w:r w:rsidRPr="00D422DF">
              <w:rPr>
                <w:rFonts w:ascii="Arial" w:hAnsi="Arial" w:cs="Arial"/>
                <w:szCs w:val="21"/>
              </w:rPr>
              <w:t>They are often designed to emulate real-world professional interactions or scenarios (e.g., job interviews; business pitches; contextualising creative works).</w:t>
            </w:r>
          </w:p>
          <w:p w14:paraId="315CD2D3" w14:textId="77777777" w:rsidR="00C77EF5" w:rsidRPr="00D422DF" w:rsidRDefault="00C77EF5" w:rsidP="00C77EF5">
            <w:pPr>
              <w:spacing w:after="0" w:line="240" w:lineRule="auto"/>
              <w:rPr>
                <w:rFonts w:ascii="Arial" w:hAnsi="Arial" w:cs="Arial"/>
                <w:szCs w:val="21"/>
              </w:rPr>
            </w:pPr>
            <w:r w:rsidRPr="00D422DF">
              <w:rPr>
                <w:rFonts w:ascii="Arial" w:hAnsi="Arial" w:cs="Arial"/>
                <w:b/>
                <w:bCs/>
                <w:szCs w:val="21"/>
              </w:rPr>
              <w:t>Benefits</w:t>
            </w:r>
            <w:r w:rsidRPr="00D422DF">
              <w:rPr>
                <w:rFonts w:ascii="Arial" w:hAnsi="Arial" w:cs="Arial"/>
                <w:szCs w:val="21"/>
              </w:rPr>
              <w:t>:</w:t>
            </w:r>
          </w:p>
          <w:p w14:paraId="5110BFCB" w14:textId="77777777" w:rsidR="00C77EF5" w:rsidRPr="00D422DF" w:rsidRDefault="00C77EF5" w:rsidP="00C77EF5">
            <w:pPr>
              <w:numPr>
                <w:ilvl w:val="0"/>
                <w:numId w:val="40"/>
              </w:numPr>
              <w:suppressAutoHyphens w:val="0"/>
              <w:spacing w:before="0" w:after="0" w:line="240" w:lineRule="auto"/>
              <w:rPr>
                <w:rFonts w:ascii="Arial" w:hAnsi="Arial" w:cs="Arial"/>
                <w:szCs w:val="21"/>
              </w:rPr>
            </w:pPr>
            <w:r w:rsidRPr="00D422DF">
              <w:rPr>
                <w:rFonts w:ascii="Arial" w:hAnsi="Arial" w:cs="Arial"/>
                <w:szCs w:val="21"/>
              </w:rPr>
              <w:t xml:space="preserve">IOAs are known to promote deep learning, critical thinking, and the development of employability skills. </w:t>
            </w:r>
          </w:p>
          <w:p w14:paraId="6BAF63BD" w14:textId="2B442F78" w:rsidR="00C77EF5" w:rsidRPr="00D422DF" w:rsidRDefault="00C77EF5" w:rsidP="00C77EF5">
            <w:pPr>
              <w:numPr>
                <w:ilvl w:val="0"/>
                <w:numId w:val="40"/>
              </w:numPr>
              <w:suppressAutoHyphens w:val="0"/>
              <w:spacing w:before="0" w:after="0" w:line="240" w:lineRule="auto"/>
              <w:rPr>
                <w:rFonts w:ascii="Arial" w:hAnsi="Arial" w:cs="Arial"/>
                <w:szCs w:val="21"/>
              </w:rPr>
            </w:pPr>
            <w:r w:rsidRPr="00D422DF">
              <w:rPr>
                <w:rFonts w:ascii="Arial" w:hAnsi="Arial" w:cs="Arial"/>
                <w:szCs w:val="21"/>
              </w:rPr>
              <w:t xml:space="preserve">They are also useful for supporting academic integrity and providing assurances of learning. </w:t>
            </w:r>
          </w:p>
          <w:p w14:paraId="429230C3" w14:textId="77777777" w:rsidR="00C77EF5" w:rsidRPr="00D422DF" w:rsidRDefault="00C77EF5" w:rsidP="00C77EF5">
            <w:pPr>
              <w:spacing w:after="0" w:line="240" w:lineRule="auto"/>
              <w:rPr>
                <w:rFonts w:ascii="Arial" w:hAnsi="Arial" w:cs="Arial"/>
                <w:szCs w:val="21"/>
              </w:rPr>
            </w:pPr>
            <w:r w:rsidRPr="00D422DF">
              <w:rPr>
                <w:rFonts w:ascii="Arial" w:hAnsi="Arial" w:cs="Arial"/>
                <w:b/>
                <w:bCs/>
                <w:szCs w:val="21"/>
              </w:rPr>
              <w:t>Design and Format</w:t>
            </w:r>
            <w:r w:rsidRPr="00D422DF">
              <w:rPr>
                <w:rFonts w:ascii="Arial" w:hAnsi="Arial" w:cs="Arial"/>
                <w:szCs w:val="21"/>
              </w:rPr>
              <w:t xml:space="preserve">: </w:t>
            </w:r>
          </w:p>
          <w:p w14:paraId="7D658047" w14:textId="77777777" w:rsidR="00C77EF5" w:rsidRPr="00D422DF" w:rsidRDefault="00C77EF5" w:rsidP="00C77EF5">
            <w:pPr>
              <w:numPr>
                <w:ilvl w:val="0"/>
                <w:numId w:val="41"/>
              </w:numPr>
              <w:suppressAutoHyphens w:val="0"/>
              <w:spacing w:before="0" w:after="0" w:line="240" w:lineRule="auto"/>
              <w:rPr>
                <w:rFonts w:ascii="Arial" w:hAnsi="Arial" w:cs="Arial"/>
                <w:szCs w:val="21"/>
              </w:rPr>
            </w:pPr>
            <w:r w:rsidRPr="00D422DF">
              <w:rPr>
                <w:rFonts w:ascii="Arial" w:hAnsi="Arial" w:cs="Arial"/>
                <w:szCs w:val="21"/>
              </w:rPr>
              <w:t>IOAs can be used for formative or summative purposes and should align with learning outcomes and/or graduate attributes.</w:t>
            </w:r>
          </w:p>
          <w:p w14:paraId="39F72306" w14:textId="77777777" w:rsidR="00C77EF5" w:rsidRPr="00D422DF" w:rsidRDefault="00C77EF5" w:rsidP="00C77EF5">
            <w:pPr>
              <w:numPr>
                <w:ilvl w:val="0"/>
                <w:numId w:val="41"/>
              </w:numPr>
              <w:suppressAutoHyphens w:val="0"/>
              <w:spacing w:before="0" w:after="0" w:line="240" w:lineRule="auto"/>
              <w:rPr>
                <w:rFonts w:ascii="Arial" w:hAnsi="Arial" w:cs="Arial"/>
                <w:szCs w:val="21"/>
              </w:rPr>
            </w:pPr>
            <w:r w:rsidRPr="00D422DF">
              <w:rPr>
                <w:rFonts w:ascii="Arial" w:hAnsi="Arial" w:cs="Arial"/>
                <w:szCs w:val="21"/>
              </w:rPr>
              <w:t xml:space="preserve">Various formats are possible: individual vs. group, peer-involved vs. peer-excluded, artefact-based vs. stand-alone, and online vs. in-person. </w:t>
            </w:r>
          </w:p>
          <w:p w14:paraId="59076123" w14:textId="77777777" w:rsidR="00C77EF5" w:rsidRPr="00D422DF" w:rsidRDefault="00C77EF5" w:rsidP="00C77EF5">
            <w:pPr>
              <w:numPr>
                <w:ilvl w:val="0"/>
                <w:numId w:val="41"/>
              </w:numPr>
              <w:suppressAutoHyphens w:val="0"/>
              <w:spacing w:before="0" w:after="0" w:line="240" w:lineRule="auto"/>
              <w:rPr>
                <w:rFonts w:ascii="Arial" w:hAnsi="Arial" w:cs="Arial"/>
                <w:szCs w:val="21"/>
              </w:rPr>
            </w:pPr>
            <w:r w:rsidRPr="00D422DF">
              <w:rPr>
                <w:rFonts w:ascii="Arial" w:hAnsi="Arial" w:cs="Arial"/>
                <w:szCs w:val="21"/>
              </w:rPr>
              <w:t>The typical duration of an IOA is 10-15 minutes per student, with additional time for in situ marking.</w:t>
            </w:r>
          </w:p>
          <w:p w14:paraId="0B267241" w14:textId="77777777" w:rsidR="00C77EF5" w:rsidRPr="00D422DF" w:rsidRDefault="00C77EF5" w:rsidP="00C77EF5">
            <w:pPr>
              <w:numPr>
                <w:ilvl w:val="0"/>
                <w:numId w:val="41"/>
              </w:numPr>
              <w:suppressAutoHyphens w:val="0"/>
              <w:spacing w:before="0" w:after="160" w:line="240" w:lineRule="auto"/>
              <w:rPr>
                <w:rFonts w:ascii="Arial" w:hAnsi="Arial" w:cs="Arial"/>
                <w:szCs w:val="21"/>
              </w:rPr>
            </w:pPr>
            <w:r w:rsidRPr="00D422DF">
              <w:rPr>
                <w:rFonts w:ascii="Arial" w:hAnsi="Arial" w:cs="Arial"/>
                <w:szCs w:val="21"/>
              </w:rPr>
              <w:t>Careful scaffolding and integration within the curriculum are crucial for student success.</w:t>
            </w:r>
          </w:p>
          <w:p w14:paraId="5CF9E8B9" w14:textId="77777777" w:rsidR="00C77EF5" w:rsidRPr="00D422DF" w:rsidRDefault="00C77EF5" w:rsidP="00C77EF5">
            <w:pPr>
              <w:spacing w:after="0" w:line="240" w:lineRule="auto"/>
              <w:rPr>
                <w:rFonts w:ascii="Arial" w:hAnsi="Arial" w:cs="Arial"/>
                <w:szCs w:val="21"/>
              </w:rPr>
            </w:pPr>
            <w:r w:rsidRPr="00D422DF">
              <w:rPr>
                <w:rFonts w:ascii="Arial" w:hAnsi="Arial" w:cs="Arial"/>
                <w:b/>
                <w:bCs/>
                <w:szCs w:val="21"/>
              </w:rPr>
              <w:t>Implementation and Delivery</w:t>
            </w:r>
            <w:r w:rsidRPr="00D422DF">
              <w:rPr>
                <w:rFonts w:ascii="Arial" w:hAnsi="Arial" w:cs="Arial"/>
                <w:szCs w:val="21"/>
              </w:rPr>
              <w:t xml:space="preserve">: </w:t>
            </w:r>
          </w:p>
          <w:p w14:paraId="7A61FB7D" w14:textId="77777777" w:rsidR="00C77EF5" w:rsidRPr="00D422DF" w:rsidRDefault="00C77EF5" w:rsidP="00C77EF5">
            <w:pPr>
              <w:numPr>
                <w:ilvl w:val="0"/>
                <w:numId w:val="41"/>
              </w:numPr>
              <w:suppressAutoHyphens w:val="0"/>
              <w:spacing w:before="0" w:after="0" w:line="240" w:lineRule="auto"/>
              <w:rPr>
                <w:rFonts w:ascii="Arial" w:hAnsi="Arial" w:cs="Arial"/>
                <w:szCs w:val="21"/>
              </w:rPr>
            </w:pPr>
            <w:r w:rsidRPr="00D422DF">
              <w:rPr>
                <w:rFonts w:ascii="Arial" w:hAnsi="Arial" w:cs="Arial"/>
                <w:szCs w:val="21"/>
              </w:rPr>
              <w:t xml:space="preserve">Assessors act as facilitators, using various types of prompts to guide the conversation. </w:t>
            </w:r>
          </w:p>
          <w:p w14:paraId="1BF9D509" w14:textId="77777777" w:rsidR="00C77EF5" w:rsidRPr="00D422DF" w:rsidRDefault="00C77EF5" w:rsidP="00C77EF5">
            <w:pPr>
              <w:numPr>
                <w:ilvl w:val="0"/>
                <w:numId w:val="41"/>
              </w:numPr>
              <w:suppressAutoHyphens w:val="0"/>
              <w:spacing w:before="0" w:after="0" w:line="240" w:lineRule="auto"/>
              <w:rPr>
                <w:rFonts w:ascii="Arial" w:hAnsi="Arial" w:cs="Arial"/>
                <w:szCs w:val="21"/>
              </w:rPr>
            </w:pPr>
            <w:r w:rsidRPr="00D422DF">
              <w:rPr>
                <w:rFonts w:ascii="Arial" w:hAnsi="Arial" w:cs="Arial"/>
                <w:szCs w:val="21"/>
              </w:rPr>
              <w:t>Careful scheduling and logistical planning are necessary, especially for large cohorts.</w:t>
            </w:r>
          </w:p>
          <w:p w14:paraId="5A6E8007" w14:textId="77777777" w:rsidR="00C77EF5" w:rsidRPr="00D422DF" w:rsidRDefault="00C77EF5" w:rsidP="00C77EF5">
            <w:pPr>
              <w:numPr>
                <w:ilvl w:val="0"/>
                <w:numId w:val="41"/>
              </w:numPr>
              <w:suppressAutoHyphens w:val="0"/>
              <w:spacing w:before="0" w:after="160" w:line="240" w:lineRule="auto"/>
              <w:rPr>
                <w:rFonts w:ascii="Arial" w:hAnsi="Arial" w:cs="Arial"/>
                <w:szCs w:val="21"/>
              </w:rPr>
            </w:pPr>
            <w:r w:rsidRPr="00D422DF">
              <w:rPr>
                <w:rFonts w:ascii="Arial" w:hAnsi="Arial" w:cs="Arial"/>
                <w:szCs w:val="21"/>
              </w:rPr>
              <w:t xml:space="preserve">Feedback can be immediate (verbal) and delayed (written), with options for self-assessment. </w:t>
            </w:r>
          </w:p>
          <w:p w14:paraId="5C326A80" w14:textId="77777777" w:rsidR="00C77EF5" w:rsidRPr="00D422DF" w:rsidRDefault="00C77EF5" w:rsidP="00C77EF5">
            <w:pPr>
              <w:spacing w:after="0" w:line="240" w:lineRule="auto"/>
              <w:rPr>
                <w:rFonts w:ascii="Arial" w:hAnsi="Arial" w:cs="Arial"/>
                <w:szCs w:val="21"/>
              </w:rPr>
            </w:pPr>
            <w:r w:rsidRPr="00D422DF">
              <w:rPr>
                <w:rFonts w:ascii="Arial" w:hAnsi="Arial" w:cs="Arial"/>
                <w:b/>
                <w:bCs/>
                <w:szCs w:val="21"/>
              </w:rPr>
              <w:t>Quality Assurance</w:t>
            </w:r>
            <w:r w:rsidRPr="00D422DF">
              <w:rPr>
                <w:rFonts w:ascii="Arial" w:hAnsi="Arial" w:cs="Arial"/>
                <w:szCs w:val="21"/>
              </w:rPr>
              <w:t xml:space="preserve">: </w:t>
            </w:r>
          </w:p>
          <w:p w14:paraId="152CA82A" w14:textId="77777777" w:rsidR="00C77EF5" w:rsidRPr="00D422DF" w:rsidRDefault="00C77EF5" w:rsidP="00C77EF5">
            <w:pPr>
              <w:pStyle w:val="ListParagraph"/>
              <w:numPr>
                <w:ilvl w:val="0"/>
                <w:numId w:val="43"/>
              </w:numPr>
              <w:suppressAutoHyphens w:val="0"/>
              <w:spacing w:before="0" w:after="0" w:line="240" w:lineRule="auto"/>
              <w:rPr>
                <w:rFonts w:ascii="Arial" w:hAnsi="Arial" w:cs="Arial"/>
                <w:szCs w:val="21"/>
              </w:rPr>
            </w:pPr>
            <w:r w:rsidRPr="00D422DF">
              <w:rPr>
                <w:rFonts w:ascii="Arial" w:hAnsi="Arial" w:cs="Arial"/>
                <w:szCs w:val="21"/>
              </w:rPr>
              <w:t>Ensuring consistency and fairness requires assessor training and moderation.</w:t>
            </w:r>
          </w:p>
          <w:p w14:paraId="6D3C09CE" w14:textId="77777777" w:rsidR="00C77EF5" w:rsidRPr="00D422DF" w:rsidRDefault="00C77EF5" w:rsidP="00C77EF5">
            <w:pPr>
              <w:numPr>
                <w:ilvl w:val="0"/>
                <w:numId w:val="43"/>
              </w:numPr>
              <w:suppressAutoHyphens w:val="0"/>
              <w:spacing w:before="0" w:after="160" w:line="240" w:lineRule="auto"/>
              <w:rPr>
                <w:rFonts w:ascii="Arial" w:hAnsi="Arial" w:cs="Arial"/>
                <w:szCs w:val="21"/>
              </w:rPr>
            </w:pPr>
            <w:r w:rsidRPr="00D422DF">
              <w:rPr>
                <w:rFonts w:ascii="Arial" w:hAnsi="Arial" w:cs="Arial"/>
                <w:szCs w:val="21"/>
              </w:rPr>
              <w:t>Regular evaluation and review help maintain effectiveness and relevance.</w:t>
            </w:r>
          </w:p>
          <w:p w14:paraId="335106AB" w14:textId="77777777" w:rsidR="00C77EF5" w:rsidRPr="00D422DF" w:rsidRDefault="00C77EF5" w:rsidP="00C77EF5">
            <w:pPr>
              <w:spacing w:after="0" w:line="240" w:lineRule="auto"/>
              <w:rPr>
                <w:rFonts w:ascii="Arial" w:hAnsi="Arial" w:cs="Arial"/>
                <w:b/>
                <w:bCs/>
                <w:szCs w:val="21"/>
              </w:rPr>
            </w:pPr>
            <w:r w:rsidRPr="00D422DF">
              <w:rPr>
                <w:rFonts w:ascii="Arial" w:hAnsi="Arial" w:cs="Arial"/>
                <w:b/>
                <w:bCs/>
                <w:szCs w:val="21"/>
              </w:rPr>
              <w:t>Inclusivity and Equity:</w:t>
            </w:r>
          </w:p>
          <w:p w14:paraId="46799813" w14:textId="77777777" w:rsidR="00C77EF5" w:rsidRPr="00D422DF" w:rsidRDefault="00C77EF5" w:rsidP="00C77EF5">
            <w:pPr>
              <w:numPr>
                <w:ilvl w:val="0"/>
                <w:numId w:val="42"/>
              </w:numPr>
              <w:suppressAutoHyphens w:val="0"/>
              <w:spacing w:before="0" w:after="160" w:line="240" w:lineRule="auto"/>
              <w:rPr>
                <w:rFonts w:ascii="Arial" w:hAnsi="Arial" w:cs="Arial"/>
                <w:szCs w:val="21"/>
              </w:rPr>
            </w:pPr>
            <w:r w:rsidRPr="00D422DF">
              <w:rPr>
                <w:rFonts w:ascii="Arial" w:hAnsi="Arial" w:cs="Arial"/>
                <w:szCs w:val="21"/>
              </w:rPr>
              <w:t>Some students may be apprehensive or anxious about IOAs, so setting expectations and planning for flexibility is advised.</w:t>
            </w:r>
          </w:p>
          <w:p w14:paraId="5BCFCDEA" w14:textId="638E6B58" w:rsidR="00A835BA" w:rsidRPr="00C77EF5" w:rsidRDefault="00C77EF5" w:rsidP="00C77EF5">
            <w:pPr>
              <w:numPr>
                <w:ilvl w:val="0"/>
                <w:numId w:val="42"/>
              </w:numPr>
              <w:suppressAutoHyphens w:val="0"/>
              <w:spacing w:before="0" w:after="160" w:line="240" w:lineRule="auto"/>
              <w:rPr>
                <w:rFonts w:ascii="Arial" w:hAnsi="Arial" w:cs="Arial"/>
              </w:rPr>
            </w:pPr>
            <w:r w:rsidRPr="00D422DF">
              <w:rPr>
                <w:rFonts w:ascii="Arial" w:hAnsi="Arial" w:cs="Arial"/>
                <w:szCs w:val="21"/>
              </w:rPr>
              <w:t>IOAs are equitable forms of assessment when they are appropriately scaffolded and implemented, and students are well-supported to succeed.</w:t>
            </w:r>
          </w:p>
        </w:tc>
      </w:tr>
    </w:tbl>
    <w:p w14:paraId="0B1DFAA4" w14:textId="43E3E741" w:rsidR="0010539A" w:rsidRPr="00C77EF5" w:rsidRDefault="00C77EF5" w:rsidP="00C77EF5">
      <w:pPr>
        <w:pStyle w:val="Heading1"/>
        <w:rPr>
          <w:szCs w:val="28"/>
        </w:rPr>
      </w:pPr>
      <w:r>
        <w:rPr>
          <w:szCs w:val="28"/>
        </w:rPr>
        <w:lastRenderedPageBreak/>
        <w:t>Overview</w:t>
      </w:r>
    </w:p>
    <w:p w14:paraId="4DE558B2" w14:textId="668D6667" w:rsidR="00964F8C" w:rsidRPr="00C65658" w:rsidRDefault="00C77EF5" w:rsidP="00F43D5B">
      <w:pPr>
        <w:pStyle w:val="Heading2"/>
        <w:rPr>
          <w:szCs w:val="24"/>
        </w:rPr>
      </w:pPr>
      <w:r>
        <w:rPr>
          <w:szCs w:val="24"/>
        </w:rPr>
        <w:t>What Are IOAs?</w:t>
      </w:r>
    </w:p>
    <w:p w14:paraId="190389F6" w14:textId="53F16B6C" w:rsidR="00C77EF5" w:rsidRPr="00C77EF5" w:rsidRDefault="00C77EF5" w:rsidP="00C77EF5">
      <w:pPr>
        <w:rPr>
          <w:rFonts w:ascii="Arial" w:hAnsi="Arial" w:cs="Arial"/>
          <w:szCs w:val="22"/>
        </w:rPr>
      </w:pPr>
      <w:r w:rsidRPr="00C77EF5">
        <w:rPr>
          <w:rFonts w:ascii="Arial" w:hAnsi="Arial" w:cs="Arial"/>
          <w:szCs w:val="22"/>
        </w:rPr>
        <w:t>An IOA is an authentic, experiential form of assessment that can be used for either formative or summative purposes (</w:t>
      </w:r>
      <w:proofErr w:type="spellStart"/>
      <w:r w:rsidRPr="00C77EF5">
        <w:rPr>
          <w:rFonts w:ascii="Arial" w:hAnsi="Arial" w:cs="Arial"/>
          <w:szCs w:val="22"/>
        </w:rPr>
        <w:t>TeachWell</w:t>
      </w:r>
      <w:proofErr w:type="spellEnd"/>
      <w:r w:rsidRPr="00C77EF5">
        <w:rPr>
          <w:rFonts w:ascii="Arial" w:hAnsi="Arial" w:cs="Arial"/>
          <w:szCs w:val="22"/>
        </w:rPr>
        <w:t xml:space="preserve"> Digital, 2024). It involves unscripted, real-time, two-way conversations between students and assessors, centred on key topics that are aligned with subject and/or program learning outcomes. </w:t>
      </w:r>
    </w:p>
    <w:p w14:paraId="52F21DAB" w14:textId="695861FE" w:rsidR="00C77EF5" w:rsidRPr="00C77EF5" w:rsidRDefault="00C77EF5" w:rsidP="00C77EF5">
      <w:pPr>
        <w:rPr>
          <w:rFonts w:ascii="Arial" w:hAnsi="Arial" w:cs="Arial"/>
          <w:szCs w:val="22"/>
          <w:lang w:val="en-US"/>
        </w:rPr>
      </w:pPr>
      <w:r w:rsidRPr="00C77EF5">
        <w:rPr>
          <w:rFonts w:ascii="Arial" w:hAnsi="Arial" w:cs="Arial"/>
          <w:szCs w:val="22"/>
          <w:lang w:val="en-US"/>
        </w:rPr>
        <w:t xml:space="preserve">IOAs are typically designed to emulate real-world professional interactions or scenarios (O'Riordan et al., 2025; </w:t>
      </w:r>
      <w:proofErr w:type="spellStart"/>
      <w:r w:rsidRPr="00C77EF5">
        <w:rPr>
          <w:rFonts w:ascii="Arial" w:hAnsi="Arial" w:cs="Arial"/>
          <w:szCs w:val="22"/>
          <w:lang w:val="en-US"/>
        </w:rPr>
        <w:t>Sotiriadou</w:t>
      </w:r>
      <w:proofErr w:type="spellEnd"/>
      <w:r w:rsidRPr="00C77EF5">
        <w:rPr>
          <w:rFonts w:ascii="Arial" w:hAnsi="Arial" w:cs="Arial"/>
          <w:szCs w:val="22"/>
          <w:lang w:val="en-US"/>
        </w:rPr>
        <w:t xml:space="preserve"> et al., 2020), thereby enhancing assessment validity and offering students practical experience navigating situations they are likely to encounter in their future careers (Fenton, 2025). Example scenarios include job interviews; </w:t>
      </w:r>
      <w:proofErr w:type="spellStart"/>
      <w:r w:rsidRPr="00C77EF5">
        <w:rPr>
          <w:rFonts w:ascii="Arial" w:hAnsi="Arial" w:cs="Arial"/>
          <w:szCs w:val="22"/>
          <w:lang w:val="en-US"/>
        </w:rPr>
        <w:t>defence</w:t>
      </w:r>
      <w:proofErr w:type="spellEnd"/>
      <w:r w:rsidRPr="00C77EF5">
        <w:rPr>
          <w:rFonts w:ascii="Arial" w:hAnsi="Arial" w:cs="Arial"/>
          <w:szCs w:val="22"/>
          <w:lang w:val="en-US"/>
        </w:rPr>
        <w:t xml:space="preserve"> of an approach, idea or argument; business pitches; and </w:t>
      </w:r>
      <w:proofErr w:type="spellStart"/>
      <w:r w:rsidRPr="00C77EF5">
        <w:rPr>
          <w:rFonts w:ascii="Arial" w:hAnsi="Arial" w:cs="Arial"/>
          <w:szCs w:val="22"/>
          <w:lang w:val="en-US"/>
        </w:rPr>
        <w:t>contextualising</w:t>
      </w:r>
      <w:proofErr w:type="spellEnd"/>
      <w:r w:rsidRPr="00C77EF5">
        <w:rPr>
          <w:rFonts w:ascii="Arial" w:hAnsi="Arial" w:cs="Arial"/>
          <w:szCs w:val="22"/>
          <w:lang w:val="en-US"/>
        </w:rPr>
        <w:t xml:space="preserve"> creative works</w:t>
      </w:r>
      <w:r w:rsidR="00DF2F64">
        <w:rPr>
          <w:rFonts w:ascii="Arial" w:hAnsi="Arial" w:cs="Arial"/>
          <w:szCs w:val="22"/>
          <w:lang w:val="en-US"/>
        </w:rPr>
        <w:t xml:space="preserve">. </w:t>
      </w:r>
      <w:r w:rsidR="00DA21EA">
        <w:rPr>
          <w:rFonts w:ascii="Arial" w:hAnsi="Arial" w:cs="Arial"/>
          <w:szCs w:val="22"/>
          <w:lang w:val="en-US"/>
        </w:rPr>
        <w:t xml:space="preserve">Additional examples are available </w:t>
      </w:r>
      <w:r w:rsidR="00E76DC4">
        <w:rPr>
          <w:rFonts w:ascii="Arial" w:hAnsi="Arial" w:cs="Arial"/>
          <w:szCs w:val="22"/>
          <w:lang w:val="en-US"/>
        </w:rPr>
        <w:t xml:space="preserve">on these </w:t>
      </w:r>
      <w:r w:rsidR="00DD54EA" w:rsidRPr="00331AF8">
        <w:t xml:space="preserve">Education at Melbourne </w:t>
      </w:r>
      <w:r w:rsidR="00DD54EA">
        <w:rPr>
          <w:rFonts w:ascii="Arial" w:hAnsi="Arial" w:cs="Arial"/>
          <w:szCs w:val="22"/>
          <w:lang w:val="en-US"/>
        </w:rPr>
        <w:t>(</w:t>
      </w:r>
      <w:hyperlink r:id="rId13" w:history="1">
        <w:r w:rsidR="00DA21EA" w:rsidRPr="00847F09">
          <w:rPr>
            <w:rStyle w:val="Hyperlink"/>
            <w:rFonts w:ascii="Arial" w:hAnsi="Arial" w:cs="Arial"/>
            <w:szCs w:val="22"/>
            <w:lang w:val="en-US"/>
          </w:rPr>
          <w:t>https://about.unimelb.edu.au/education-melbourne/assuring-learning-at-melbourne/secure-assessment/interactive-oral-assessment</w:t>
        </w:r>
      </w:hyperlink>
      <w:r w:rsidR="00DD54EA">
        <w:rPr>
          <w:rFonts w:ascii="Arial" w:hAnsi="Arial" w:cs="Arial"/>
          <w:szCs w:val="22"/>
          <w:lang w:val="en-US"/>
        </w:rPr>
        <w:t>)</w:t>
      </w:r>
      <w:r w:rsidR="00DD54EA" w:rsidRPr="00DD54EA">
        <w:rPr>
          <w:rFonts w:ascii="Arial" w:hAnsi="Arial" w:cs="Arial"/>
          <w:szCs w:val="22"/>
          <w:lang w:val="en-US"/>
        </w:rPr>
        <w:t xml:space="preserve"> </w:t>
      </w:r>
      <w:r w:rsidRPr="00C77EF5">
        <w:rPr>
          <w:rFonts w:ascii="Arial" w:hAnsi="Arial" w:cs="Arial"/>
          <w:szCs w:val="22"/>
          <w:lang w:val="en-US"/>
        </w:rPr>
        <w:t xml:space="preserve">and </w:t>
      </w:r>
      <w:r w:rsidR="00DA21EA" w:rsidRPr="00331AF8">
        <w:t>Teaching and Learning Innovation</w:t>
      </w:r>
      <w:r w:rsidRPr="00C77EF5">
        <w:rPr>
          <w:rFonts w:ascii="Arial" w:hAnsi="Arial" w:cs="Arial"/>
          <w:szCs w:val="22"/>
          <w:lang w:val="en-US"/>
        </w:rPr>
        <w:t xml:space="preserve"> </w:t>
      </w:r>
      <w:r w:rsidR="00DA21EA">
        <w:rPr>
          <w:rFonts w:ascii="Arial" w:hAnsi="Arial" w:cs="Arial"/>
          <w:szCs w:val="22"/>
          <w:lang w:val="en-US"/>
        </w:rPr>
        <w:t>(</w:t>
      </w:r>
      <w:hyperlink r:id="rId14" w:history="1">
        <w:r w:rsidR="00DA21EA" w:rsidRPr="00847F09">
          <w:rPr>
            <w:rStyle w:val="Hyperlink"/>
            <w:rFonts w:ascii="Arial" w:hAnsi="Arial" w:cs="Arial"/>
            <w:szCs w:val="22"/>
            <w:lang w:val="en-US"/>
          </w:rPr>
          <w:t>https://www.unimelb.edu.au/tli/news/articles/interactive-oral-assessments</w:t>
        </w:r>
      </w:hyperlink>
      <w:r w:rsidR="00DA21EA">
        <w:rPr>
          <w:rFonts w:ascii="Arial" w:hAnsi="Arial" w:cs="Arial"/>
          <w:szCs w:val="22"/>
          <w:lang w:val="en-US"/>
        </w:rPr>
        <w:t xml:space="preserve">) </w:t>
      </w:r>
      <w:r w:rsidR="00E76DC4">
        <w:rPr>
          <w:rFonts w:ascii="Arial" w:hAnsi="Arial" w:cs="Arial"/>
          <w:szCs w:val="22"/>
          <w:lang w:val="en-US"/>
        </w:rPr>
        <w:t>pages</w:t>
      </w:r>
      <w:r w:rsidRPr="00C77EF5">
        <w:rPr>
          <w:rFonts w:ascii="Arial" w:hAnsi="Arial" w:cs="Arial"/>
          <w:szCs w:val="22"/>
          <w:lang w:val="en-US"/>
        </w:rPr>
        <w:t xml:space="preserve">.  </w:t>
      </w:r>
    </w:p>
    <w:p w14:paraId="31FC5985" w14:textId="1D04F71E" w:rsidR="00C77EF5" w:rsidRPr="00C77EF5" w:rsidRDefault="00C77EF5" w:rsidP="00C77EF5">
      <w:pPr>
        <w:rPr>
          <w:rFonts w:ascii="Arial" w:hAnsi="Arial" w:cs="Arial"/>
          <w:szCs w:val="22"/>
        </w:rPr>
      </w:pPr>
      <w:r w:rsidRPr="00C77EF5">
        <w:rPr>
          <w:rFonts w:ascii="Arial" w:hAnsi="Arial" w:cs="Arial"/>
          <w:szCs w:val="22"/>
        </w:rPr>
        <w:t>While the specific format, task, or scenario involved in the IOA may vary depending on the discipline, subject matter, learning outcomes or student cohort (See Box 1 for examples), the fundamental structure remains consistent: one or more assessors ask students a series of semi-structured questions, to which students respond in real-time (O'Riordan et al., 2025). </w:t>
      </w:r>
    </w:p>
    <w:p w14:paraId="390320E7" w14:textId="77777777" w:rsidR="00C77EF5" w:rsidRDefault="00C77EF5" w:rsidP="00C77EF5">
      <w:pPr>
        <w:rPr>
          <w:rFonts w:ascii="Arial" w:hAnsi="Arial" w:cs="Arial"/>
          <w:szCs w:val="22"/>
        </w:rPr>
      </w:pPr>
      <w:r w:rsidRPr="00C77EF5">
        <w:rPr>
          <w:rFonts w:ascii="Arial" w:hAnsi="Arial" w:cs="Arial"/>
          <w:szCs w:val="22"/>
        </w:rPr>
        <w:t>Despite the inclusion of a question-and-answer format, IOAs are distinct from traditional oral exams, as they are designed to be nuanced, interactive, and dynamic, rather than simply rewarding information recall. IOAs are also different from oral presentations and objective structured clinical examinations (OSCEs) as they are personalised and unscripted, and the interactions are free-flowing and supportive in nature (Kalman et al., 2024). As IOAs are performed under assessment conditions, they can also be distinguished from the kinds of verbal interactions that typically occur between educators and students to support learning, such as supervision meetings that are held over the course of a research project, or tutorial-based discussions.</w:t>
      </w:r>
    </w:p>
    <w:p w14:paraId="784B0973" w14:textId="77777777" w:rsidR="00C77EF5" w:rsidRDefault="00C77EF5" w:rsidP="00C77EF5">
      <w:pPr>
        <w:rPr>
          <w:rFonts w:ascii="Arial" w:hAnsi="Arial" w:cs="Arial"/>
          <w:szCs w:val="22"/>
        </w:rPr>
      </w:pPr>
    </w:p>
    <w:p w14:paraId="1EA72920" w14:textId="77777777" w:rsidR="00C77EF5" w:rsidRDefault="00C77EF5" w:rsidP="00C77EF5">
      <w:pPr>
        <w:rPr>
          <w:rFonts w:ascii="Arial" w:hAnsi="Arial" w:cs="Arial"/>
          <w:szCs w:val="22"/>
        </w:rPr>
      </w:pPr>
    </w:p>
    <w:p w14:paraId="40DEEDB4" w14:textId="77777777" w:rsidR="00C77EF5" w:rsidRDefault="00C77EF5" w:rsidP="00C77EF5">
      <w:pPr>
        <w:rPr>
          <w:rFonts w:ascii="Arial" w:hAnsi="Arial" w:cs="Arial"/>
          <w:szCs w:val="22"/>
        </w:rPr>
      </w:pPr>
    </w:p>
    <w:p w14:paraId="00B36D3D" w14:textId="77777777" w:rsidR="00C77EF5" w:rsidRDefault="00C77EF5" w:rsidP="00C77EF5">
      <w:pPr>
        <w:rPr>
          <w:rFonts w:ascii="Arial" w:hAnsi="Arial" w:cs="Arial"/>
          <w:szCs w:val="22"/>
        </w:rPr>
      </w:pPr>
    </w:p>
    <w:p w14:paraId="2489E2F5" w14:textId="77777777" w:rsidR="00C77EF5" w:rsidRDefault="00C77EF5" w:rsidP="00C77EF5">
      <w:pPr>
        <w:rPr>
          <w:rFonts w:ascii="Arial" w:hAnsi="Arial" w:cs="Arial"/>
          <w:szCs w:val="22"/>
        </w:rPr>
      </w:pPr>
    </w:p>
    <w:p w14:paraId="7EB86119" w14:textId="77777777" w:rsidR="00C77EF5" w:rsidRDefault="00C77EF5" w:rsidP="00C77EF5">
      <w:pPr>
        <w:rPr>
          <w:rFonts w:ascii="Arial" w:hAnsi="Arial" w:cs="Arial"/>
          <w:szCs w:val="22"/>
        </w:rPr>
      </w:pPr>
    </w:p>
    <w:p w14:paraId="066824A5" w14:textId="77777777" w:rsidR="00C77EF5" w:rsidRPr="00FF0ECB" w:rsidRDefault="00C77EF5" w:rsidP="00C77EF5">
      <w:pPr>
        <w:pStyle w:val="Heading3"/>
        <w:rPr>
          <w:szCs w:val="22"/>
        </w:rPr>
      </w:pPr>
      <w:r w:rsidRPr="00FF0ECB">
        <w:rPr>
          <w:szCs w:val="22"/>
        </w:rPr>
        <w:lastRenderedPageBreak/>
        <w:t>Box 1: Four examples of IOAs illustrating disciplinary diversity, individual and group formats, and differences in learning outcomes being assessed</w:t>
      </w:r>
    </w:p>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17"/>
        <w:gridCol w:w="4817"/>
      </w:tblGrid>
      <w:tr w:rsidR="00C77EF5" w:rsidRPr="00C77EF5" w14:paraId="5F113DDA" w14:textId="77777777" w:rsidTr="00FF0ECB">
        <w:trPr>
          <w:trHeight w:val="300"/>
        </w:trPr>
        <w:tc>
          <w:tcPr>
            <w:tcW w:w="4817" w:type="dxa"/>
            <w:shd w:val="clear" w:color="auto" w:fill="F2F2F2" w:themeFill="background1" w:themeFillShade="F2"/>
          </w:tcPr>
          <w:p w14:paraId="645282FD" w14:textId="77777777" w:rsidR="00C77EF5" w:rsidRPr="00D422DF" w:rsidRDefault="00C77EF5" w:rsidP="00C85106">
            <w:pPr>
              <w:numPr>
                <w:ilvl w:val="0"/>
                <w:numId w:val="44"/>
              </w:numPr>
              <w:spacing w:before="0" w:line="240" w:lineRule="auto"/>
              <w:rPr>
                <w:rFonts w:ascii="Arial" w:hAnsi="Arial" w:cs="Arial"/>
                <w:b/>
                <w:bCs/>
                <w:i/>
                <w:iCs/>
                <w:sz w:val="19"/>
                <w:szCs w:val="19"/>
              </w:rPr>
            </w:pPr>
            <w:r w:rsidRPr="00D422DF">
              <w:rPr>
                <w:rFonts w:ascii="Arial" w:hAnsi="Arial" w:cs="Arial"/>
                <w:b/>
                <w:bCs/>
                <w:i/>
                <w:iCs/>
                <w:sz w:val="19"/>
                <w:szCs w:val="19"/>
              </w:rPr>
              <w:t xml:space="preserve">Law </w:t>
            </w:r>
          </w:p>
          <w:p w14:paraId="4C7814D4"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Individual</w:t>
            </w:r>
          </w:p>
          <w:p w14:paraId="35C3D897" w14:textId="77777777" w:rsidR="00C77EF5" w:rsidRPr="00D422DF" w:rsidRDefault="00C77EF5"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3A7BEB">
              <w:rPr>
                <w:rFonts w:ascii="Arial" w:hAnsi="Arial" w:cs="Arial"/>
                <w:sz w:val="19"/>
                <w:szCs w:val="19"/>
              </w:rPr>
              <w:t>Ethical reasoning, Argumentation</w:t>
            </w:r>
            <w:r w:rsidRPr="00D422DF">
              <w:rPr>
                <w:rFonts w:ascii="Arial" w:hAnsi="Arial" w:cs="Arial"/>
                <w:b/>
                <w:bCs/>
                <w:sz w:val="19"/>
                <w:szCs w:val="19"/>
              </w:rPr>
              <w:t xml:space="preserve"> </w:t>
            </w:r>
          </w:p>
          <w:p w14:paraId="3558EEF3"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Task:</w:t>
            </w:r>
            <w:r w:rsidRPr="00D422DF">
              <w:rPr>
                <w:rFonts w:ascii="Arial" w:hAnsi="Arial" w:cs="Arial"/>
                <w:sz w:val="19"/>
                <w:szCs w:val="19"/>
              </w:rPr>
              <w:t> Students prepare a written legal opinion on a controversial privacy law scenario involving biometric data.</w:t>
            </w:r>
          </w:p>
          <w:p w14:paraId="2FD3AECE"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IOA Focus:</w:t>
            </w:r>
            <w:r w:rsidRPr="00D422DF">
              <w:rPr>
                <w:rFonts w:ascii="Arial" w:hAnsi="Arial" w:cs="Arial"/>
                <w:sz w:val="19"/>
                <w:szCs w:val="19"/>
              </w:rPr>
              <w:t> Students are questioned about ethical tensions, their legal reasoning, and how they would reconcile competing rights in a real-world legal setting.</w:t>
            </w:r>
          </w:p>
        </w:tc>
        <w:tc>
          <w:tcPr>
            <w:tcW w:w="4817" w:type="dxa"/>
            <w:shd w:val="clear" w:color="auto" w:fill="F2F2F2" w:themeFill="background1" w:themeFillShade="F2"/>
          </w:tcPr>
          <w:p w14:paraId="66E5D619" w14:textId="77777777" w:rsidR="00C77EF5" w:rsidRPr="00D422DF" w:rsidRDefault="00C77EF5" w:rsidP="00C85106">
            <w:pPr>
              <w:numPr>
                <w:ilvl w:val="0"/>
                <w:numId w:val="44"/>
              </w:numPr>
              <w:spacing w:before="0" w:line="240" w:lineRule="auto"/>
              <w:rPr>
                <w:rFonts w:ascii="Arial" w:hAnsi="Arial" w:cs="Arial"/>
                <w:b/>
                <w:bCs/>
                <w:i/>
                <w:iCs/>
                <w:sz w:val="19"/>
                <w:szCs w:val="19"/>
              </w:rPr>
            </w:pPr>
            <w:r w:rsidRPr="00D422DF">
              <w:rPr>
                <w:rFonts w:ascii="Arial" w:hAnsi="Arial" w:cs="Arial"/>
                <w:b/>
                <w:bCs/>
                <w:i/>
                <w:iCs/>
                <w:sz w:val="19"/>
                <w:szCs w:val="19"/>
              </w:rPr>
              <w:t>Environmental Science</w:t>
            </w:r>
          </w:p>
          <w:p w14:paraId="1A535EF1" w14:textId="77777777" w:rsidR="00C77EF5" w:rsidRPr="003A7BEB" w:rsidRDefault="00C77EF5"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Group</w:t>
            </w:r>
          </w:p>
          <w:p w14:paraId="0B6DFF92" w14:textId="77777777" w:rsidR="00C77EF5" w:rsidRPr="00D422DF" w:rsidRDefault="00C77EF5"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3A7BEB">
              <w:rPr>
                <w:rFonts w:ascii="Arial" w:hAnsi="Arial" w:cs="Arial"/>
                <w:sz w:val="19"/>
                <w:szCs w:val="19"/>
              </w:rPr>
              <w:t>Teamwork, Data literacy</w:t>
            </w:r>
            <w:r w:rsidRPr="00D422DF">
              <w:rPr>
                <w:rFonts w:ascii="Arial" w:hAnsi="Arial" w:cs="Arial"/>
                <w:b/>
                <w:bCs/>
                <w:sz w:val="19"/>
                <w:szCs w:val="19"/>
              </w:rPr>
              <w:t xml:space="preserve"> </w:t>
            </w:r>
          </w:p>
          <w:p w14:paraId="15F24A79"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Task:</w:t>
            </w:r>
            <w:r w:rsidRPr="00D422DF">
              <w:rPr>
                <w:rFonts w:ascii="Arial" w:hAnsi="Arial" w:cs="Arial"/>
                <w:sz w:val="19"/>
                <w:szCs w:val="19"/>
              </w:rPr>
              <w:t> Student groups conduct field sampling and co-author a biodiversity risk assessment report for a local wetland.</w:t>
            </w:r>
          </w:p>
          <w:p w14:paraId="0B1FD3E9"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IOA Focus:</w:t>
            </w:r>
            <w:r w:rsidRPr="00D422DF">
              <w:rPr>
                <w:rFonts w:ascii="Arial" w:hAnsi="Arial" w:cs="Arial"/>
                <w:sz w:val="19"/>
                <w:szCs w:val="19"/>
              </w:rPr>
              <w:t> Each team member explains a specific aspect of the methodology and defends the interpretation of data. The group collectively negotiates next-step conservation actions in response to new simulated evidence.</w:t>
            </w:r>
          </w:p>
        </w:tc>
      </w:tr>
      <w:tr w:rsidR="00C77EF5" w:rsidRPr="00C77EF5" w14:paraId="2DAF6E56" w14:textId="77777777" w:rsidTr="00FF0ECB">
        <w:trPr>
          <w:trHeight w:val="300"/>
        </w:trPr>
        <w:tc>
          <w:tcPr>
            <w:tcW w:w="4817" w:type="dxa"/>
            <w:shd w:val="clear" w:color="auto" w:fill="F2F2F2" w:themeFill="background1" w:themeFillShade="F2"/>
          </w:tcPr>
          <w:p w14:paraId="337EB47B" w14:textId="77777777" w:rsidR="00C77EF5" w:rsidRPr="00D422DF" w:rsidRDefault="00C77EF5" w:rsidP="00C85106">
            <w:pPr>
              <w:numPr>
                <w:ilvl w:val="0"/>
                <w:numId w:val="44"/>
              </w:numPr>
              <w:spacing w:before="0" w:line="240" w:lineRule="auto"/>
              <w:rPr>
                <w:rFonts w:ascii="Arial" w:hAnsi="Arial" w:cs="Arial"/>
                <w:b/>
                <w:bCs/>
                <w:i/>
                <w:iCs/>
                <w:sz w:val="19"/>
                <w:szCs w:val="19"/>
              </w:rPr>
            </w:pPr>
            <w:r w:rsidRPr="00D422DF">
              <w:rPr>
                <w:rFonts w:ascii="Arial" w:hAnsi="Arial" w:cs="Arial"/>
                <w:b/>
                <w:bCs/>
                <w:i/>
                <w:iCs/>
                <w:sz w:val="19"/>
                <w:szCs w:val="19"/>
              </w:rPr>
              <w:t xml:space="preserve">Nursing </w:t>
            </w:r>
          </w:p>
          <w:p w14:paraId="1EDE95D2"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Group</w:t>
            </w:r>
          </w:p>
          <w:p w14:paraId="5C266989" w14:textId="77777777" w:rsidR="00C77EF5" w:rsidRPr="00D422DF" w:rsidRDefault="00C77EF5"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3A7BEB">
              <w:rPr>
                <w:rFonts w:ascii="Arial" w:hAnsi="Arial" w:cs="Arial"/>
                <w:sz w:val="19"/>
                <w:szCs w:val="19"/>
              </w:rPr>
              <w:t>Professional judgement, Rapid decision-making</w:t>
            </w:r>
          </w:p>
          <w:p w14:paraId="48AB9B37"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Task:</w:t>
            </w:r>
            <w:r w:rsidRPr="00D422DF">
              <w:rPr>
                <w:rFonts w:ascii="Arial" w:hAnsi="Arial" w:cs="Arial"/>
                <w:sz w:val="19"/>
                <w:szCs w:val="19"/>
              </w:rPr>
              <w:t> Students work in teams to create a care plan for a simulated patient in a high-pressure emergency scenario.</w:t>
            </w:r>
          </w:p>
          <w:p w14:paraId="7A6E5CC7"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IOA Focus:</w:t>
            </w:r>
            <w:r w:rsidRPr="00D422DF">
              <w:rPr>
                <w:rFonts w:ascii="Arial" w:hAnsi="Arial" w:cs="Arial"/>
                <w:sz w:val="19"/>
                <w:szCs w:val="19"/>
              </w:rPr>
              <w:t> In a debrief-style IOA, the group discusses key clinical decisions, justifies prioritisation of care, and reflects on team coordination under time pressure.</w:t>
            </w:r>
          </w:p>
        </w:tc>
        <w:tc>
          <w:tcPr>
            <w:tcW w:w="4817" w:type="dxa"/>
            <w:shd w:val="clear" w:color="auto" w:fill="F2F2F2" w:themeFill="background1" w:themeFillShade="F2"/>
          </w:tcPr>
          <w:p w14:paraId="76EA294A" w14:textId="77777777" w:rsidR="00C77EF5" w:rsidRPr="00D422DF" w:rsidRDefault="00C77EF5" w:rsidP="00C85106">
            <w:pPr>
              <w:numPr>
                <w:ilvl w:val="0"/>
                <w:numId w:val="44"/>
              </w:numPr>
              <w:spacing w:before="0" w:line="240" w:lineRule="auto"/>
              <w:rPr>
                <w:rFonts w:ascii="Arial" w:hAnsi="Arial" w:cs="Arial"/>
                <w:b/>
                <w:bCs/>
                <w:i/>
                <w:iCs/>
                <w:sz w:val="19"/>
                <w:szCs w:val="19"/>
              </w:rPr>
            </w:pPr>
            <w:r w:rsidRPr="00D422DF">
              <w:rPr>
                <w:rFonts w:ascii="Arial" w:hAnsi="Arial" w:cs="Arial"/>
                <w:b/>
                <w:bCs/>
                <w:i/>
                <w:iCs/>
                <w:sz w:val="19"/>
                <w:szCs w:val="19"/>
              </w:rPr>
              <w:t xml:space="preserve">Economics </w:t>
            </w:r>
          </w:p>
          <w:p w14:paraId="103EE469"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Individual</w:t>
            </w:r>
          </w:p>
          <w:p w14:paraId="57CD529B" w14:textId="77777777" w:rsidR="00C77EF5" w:rsidRPr="00D422DF" w:rsidRDefault="00C77EF5"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3A7BEB">
              <w:rPr>
                <w:rFonts w:ascii="Arial" w:hAnsi="Arial" w:cs="Arial"/>
                <w:sz w:val="19"/>
                <w:szCs w:val="19"/>
              </w:rPr>
              <w:t xml:space="preserve">Critical thinking, Quantitative reasoning </w:t>
            </w:r>
          </w:p>
          <w:p w14:paraId="7AE6E291" w14:textId="77777777" w:rsidR="00C77EF5" w:rsidRPr="00D422DF" w:rsidRDefault="00C77EF5" w:rsidP="00C85106">
            <w:pPr>
              <w:spacing w:before="0" w:line="240" w:lineRule="auto"/>
              <w:rPr>
                <w:rFonts w:ascii="Arial" w:hAnsi="Arial" w:cs="Arial"/>
                <w:sz w:val="19"/>
                <w:szCs w:val="19"/>
              </w:rPr>
            </w:pPr>
            <w:r w:rsidRPr="00D422DF">
              <w:rPr>
                <w:rFonts w:ascii="Arial" w:hAnsi="Arial" w:cs="Arial"/>
                <w:b/>
                <w:bCs/>
                <w:sz w:val="19"/>
                <w:szCs w:val="19"/>
              </w:rPr>
              <w:t>Task:</w:t>
            </w:r>
            <w:r w:rsidRPr="00D422DF">
              <w:rPr>
                <w:rFonts w:ascii="Arial" w:hAnsi="Arial" w:cs="Arial"/>
                <w:sz w:val="19"/>
                <w:szCs w:val="19"/>
              </w:rPr>
              <w:t> Students analyse a dataset on inflation trends and submit a short policy briefing on interest rate recommendations.</w:t>
            </w:r>
          </w:p>
          <w:p w14:paraId="068EC1DA" w14:textId="77777777" w:rsidR="00C77EF5" w:rsidRPr="00D422DF" w:rsidRDefault="00C77EF5" w:rsidP="00C85106">
            <w:pPr>
              <w:spacing w:before="0" w:line="240" w:lineRule="auto"/>
              <w:rPr>
                <w:rFonts w:ascii="Arial" w:hAnsi="Arial" w:cs="Arial"/>
                <w:b/>
                <w:bCs/>
                <w:sz w:val="19"/>
                <w:szCs w:val="19"/>
              </w:rPr>
            </w:pPr>
            <w:r w:rsidRPr="00D422DF">
              <w:rPr>
                <w:rFonts w:ascii="Arial" w:hAnsi="Arial" w:cs="Arial"/>
                <w:b/>
                <w:bCs/>
                <w:sz w:val="19"/>
                <w:szCs w:val="19"/>
              </w:rPr>
              <w:t>IOA Focus:</w:t>
            </w:r>
            <w:r w:rsidRPr="00D422DF">
              <w:rPr>
                <w:rFonts w:ascii="Arial" w:hAnsi="Arial" w:cs="Arial"/>
                <w:sz w:val="19"/>
                <w:szCs w:val="19"/>
              </w:rPr>
              <w:t> Students defend their assumptions, evaluate alternate models or interpretations, and simulate advising a central bank official based on follow-up data.</w:t>
            </w:r>
          </w:p>
        </w:tc>
      </w:tr>
    </w:tbl>
    <w:p w14:paraId="274A3FE1" w14:textId="77777777" w:rsidR="00C77EF5" w:rsidRPr="00C77EF5" w:rsidRDefault="00C77EF5" w:rsidP="00C77EF5">
      <w:pPr>
        <w:rPr>
          <w:rFonts w:ascii="Arial" w:hAnsi="Arial" w:cs="Arial"/>
          <w:sz w:val="10"/>
          <w:szCs w:val="10"/>
        </w:rPr>
      </w:pPr>
    </w:p>
    <w:p w14:paraId="4811F494" w14:textId="4D1F6CC1" w:rsidR="00964F8C" w:rsidRPr="00C65658" w:rsidRDefault="00FF0ECB" w:rsidP="00CC0BF6">
      <w:pPr>
        <w:pStyle w:val="Heading2"/>
        <w:spacing w:before="0"/>
        <w:rPr>
          <w:szCs w:val="24"/>
        </w:rPr>
      </w:pPr>
      <w:r>
        <w:rPr>
          <w:szCs w:val="24"/>
        </w:rPr>
        <w:t>Why Use IOAs?</w:t>
      </w:r>
    </w:p>
    <w:p w14:paraId="5F8DC2F0" w14:textId="56B9D658" w:rsidR="00FF0ECB" w:rsidRPr="00FF0ECB" w:rsidRDefault="00FF0ECB" w:rsidP="00FF0ECB">
      <w:pPr>
        <w:rPr>
          <w:rFonts w:ascii="Arial" w:hAnsi="Arial" w:cs="Arial"/>
          <w:szCs w:val="22"/>
        </w:rPr>
      </w:pPr>
      <w:r w:rsidRPr="00FF0ECB">
        <w:rPr>
          <w:rFonts w:ascii="Arial" w:hAnsi="Arial" w:cs="Arial"/>
          <w:szCs w:val="22"/>
        </w:rPr>
        <w:t xml:space="preserve">Interactive Oral Assessments offer several pedagogical benefits. They encourage deep learning and </w:t>
      </w:r>
      <w:proofErr w:type="gramStart"/>
      <w:r w:rsidRPr="00FF0ECB">
        <w:rPr>
          <w:rFonts w:ascii="Arial" w:hAnsi="Arial" w:cs="Arial"/>
          <w:szCs w:val="22"/>
        </w:rPr>
        <w:t>higher-order</w:t>
      </w:r>
      <w:proofErr w:type="gramEnd"/>
      <w:r w:rsidRPr="00FF0ECB">
        <w:rPr>
          <w:rFonts w:ascii="Arial" w:hAnsi="Arial" w:cs="Arial"/>
          <w:szCs w:val="22"/>
        </w:rPr>
        <w:t xml:space="preserve"> thinking skills by requiring students to justify their reasoning, and apply their knowledge across contexts (Carbonel, 2024; Fenton, 2025; O’Riordan, 2023; Tan et al., 2022). The dynamic nature of IOAs challenges students to think critically, synthesise information on the spot, and demonstrate understanding of the subject matter (Fenton, 2025; Logan-Fleming et al., 2024; O'Riordan et al., 2025). They also allow educators to identify key knowledge gaps or misconceptions students might have, which facilitates improvement of learning content and materials (Fenton, 2025).</w:t>
      </w:r>
    </w:p>
    <w:p w14:paraId="5C7C5571" w14:textId="77777777" w:rsidR="00FF0ECB" w:rsidRPr="00FF0ECB" w:rsidRDefault="00FF0ECB" w:rsidP="00FF0ECB">
      <w:pPr>
        <w:rPr>
          <w:rFonts w:ascii="Arial" w:hAnsi="Arial" w:cs="Arial"/>
          <w:szCs w:val="22"/>
        </w:rPr>
      </w:pPr>
      <w:r w:rsidRPr="00FF0ECB">
        <w:rPr>
          <w:rFonts w:ascii="Arial" w:hAnsi="Arial" w:cs="Arial"/>
          <w:szCs w:val="22"/>
        </w:rPr>
        <w:t xml:space="preserve">When framed as a simulated professional scenario, IOAs can help students develop employability skills and desirable graduate attributes (Logan &amp; </w:t>
      </w:r>
      <w:proofErr w:type="spellStart"/>
      <w:r w:rsidRPr="00FF0ECB">
        <w:rPr>
          <w:rFonts w:ascii="Arial" w:hAnsi="Arial" w:cs="Arial"/>
          <w:szCs w:val="22"/>
        </w:rPr>
        <w:t>Sotiriadou</w:t>
      </w:r>
      <w:proofErr w:type="spellEnd"/>
      <w:r w:rsidRPr="00FF0ECB">
        <w:rPr>
          <w:rFonts w:ascii="Arial" w:hAnsi="Arial" w:cs="Arial"/>
          <w:szCs w:val="22"/>
        </w:rPr>
        <w:t xml:space="preserve">, 2020; O’Riordan, 2023; </w:t>
      </w:r>
      <w:proofErr w:type="spellStart"/>
      <w:r w:rsidRPr="00FF0ECB">
        <w:rPr>
          <w:rFonts w:ascii="Arial" w:hAnsi="Arial" w:cs="Arial"/>
          <w:szCs w:val="22"/>
        </w:rPr>
        <w:t>Sotiriadou</w:t>
      </w:r>
      <w:proofErr w:type="spellEnd"/>
      <w:r w:rsidRPr="00FF0ECB">
        <w:rPr>
          <w:rFonts w:ascii="Arial" w:hAnsi="Arial" w:cs="Arial"/>
          <w:szCs w:val="22"/>
        </w:rPr>
        <w:t xml:space="preserve"> et al, 2020). In many contexts, this approach may be more authentic, reliable and valid than traditional forms of assessment, such as essays or invigilated written </w:t>
      </w:r>
      <w:r w:rsidRPr="00FF0ECB" w:rsidDel="00376DBF">
        <w:rPr>
          <w:rFonts w:ascii="Arial" w:hAnsi="Arial" w:cs="Arial"/>
          <w:szCs w:val="22"/>
        </w:rPr>
        <w:t xml:space="preserve">exams </w:t>
      </w:r>
      <w:r w:rsidRPr="00FF0ECB">
        <w:rPr>
          <w:rFonts w:ascii="Arial" w:hAnsi="Arial" w:cs="Arial"/>
          <w:szCs w:val="22"/>
        </w:rPr>
        <w:t>(O’Riordan et al., 2025; Ward et al., 2024). Students may also find these kinds of IOAs</w:t>
      </w:r>
      <w:r w:rsidRPr="00FF0ECB" w:rsidDel="00863770">
        <w:rPr>
          <w:rFonts w:ascii="Arial" w:hAnsi="Arial" w:cs="Arial"/>
          <w:szCs w:val="22"/>
        </w:rPr>
        <w:t xml:space="preserve"> </w:t>
      </w:r>
      <w:r w:rsidRPr="00FF0ECB">
        <w:rPr>
          <w:rFonts w:ascii="Arial" w:hAnsi="Arial" w:cs="Arial"/>
          <w:szCs w:val="22"/>
        </w:rPr>
        <w:t>to be more engaging and personalised than other traditional assessment formats (</w:t>
      </w:r>
      <w:proofErr w:type="spellStart"/>
      <w:r w:rsidRPr="00FF0ECB">
        <w:rPr>
          <w:rFonts w:ascii="Arial" w:hAnsi="Arial" w:cs="Arial"/>
          <w:szCs w:val="22"/>
          <w:lang w:val="en-US"/>
        </w:rPr>
        <w:t>Krautloher</w:t>
      </w:r>
      <w:proofErr w:type="spellEnd"/>
      <w:r w:rsidRPr="00FF0ECB">
        <w:rPr>
          <w:rFonts w:ascii="Arial" w:hAnsi="Arial" w:cs="Arial"/>
          <w:szCs w:val="22"/>
          <w:lang w:val="en-US"/>
        </w:rPr>
        <w:t xml:space="preserve">, 2024; </w:t>
      </w:r>
      <w:r w:rsidRPr="00FF0ECB">
        <w:rPr>
          <w:rFonts w:ascii="Arial" w:hAnsi="Arial" w:cs="Arial"/>
          <w:szCs w:val="22"/>
        </w:rPr>
        <w:t xml:space="preserve">Logan &amp; </w:t>
      </w:r>
      <w:proofErr w:type="spellStart"/>
      <w:r w:rsidRPr="00FF0ECB">
        <w:rPr>
          <w:rFonts w:ascii="Arial" w:hAnsi="Arial" w:cs="Arial"/>
          <w:szCs w:val="22"/>
        </w:rPr>
        <w:t>Sotiriadou</w:t>
      </w:r>
      <w:proofErr w:type="spellEnd"/>
      <w:r w:rsidRPr="00FF0ECB">
        <w:rPr>
          <w:rFonts w:ascii="Arial" w:hAnsi="Arial" w:cs="Arial"/>
          <w:szCs w:val="22"/>
        </w:rPr>
        <w:t>, 2020).</w:t>
      </w:r>
    </w:p>
    <w:p w14:paraId="34441F2C" w14:textId="51E49B1F" w:rsidR="00FF0ECB" w:rsidRPr="00FF0ECB" w:rsidRDefault="00FF0ECB" w:rsidP="00FF0ECB">
      <w:pPr>
        <w:rPr>
          <w:rFonts w:ascii="Arial" w:hAnsi="Arial" w:cs="Arial"/>
          <w:szCs w:val="22"/>
        </w:rPr>
      </w:pPr>
      <w:r w:rsidRPr="00FF0ECB">
        <w:rPr>
          <w:rFonts w:ascii="Arial" w:hAnsi="Arial" w:cs="Arial"/>
          <w:szCs w:val="22"/>
        </w:rPr>
        <w:t>Importantly, IOAs are also recognised for their capacity to support academic integrity and provide assurances of learning (</w:t>
      </w:r>
      <w:proofErr w:type="spellStart"/>
      <w:r w:rsidRPr="00FF0ECB">
        <w:rPr>
          <w:rFonts w:ascii="Arial" w:hAnsi="Arial" w:cs="Arial"/>
          <w:szCs w:val="22"/>
        </w:rPr>
        <w:t>Krautloher</w:t>
      </w:r>
      <w:proofErr w:type="spellEnd"/>
      <w:r w:rsidRPr="00FF0ECB">
        <w:rPr>
          <w:rFonts w:ascii="Arial" w:hAnsi="Arial" w:cs="Arial"/>
          <w:szCs w:val="22"/>
        </w:rPr>
        <w:t xml:space="preserve">, 2024; Logan &amp; </w:t>
      </w:r>
      <w:proofErr w:type="spellStart"/>
      <w:r w:rsidRPr="00FF0ECB">
        <w:rPr>
          <w:rFonts w:ascii="Arial" w:hAnsi="Arial" w:cs="Arial"/>
          <w:szCs w:val="22"/>
        </w:rPr>
        <w:t>Sotiriadou</w:t>
      </w:r>
      <w:proofErr w:type="spellEnd"/>
      <w:r w:rsidRPr="00FF0ECB">
        <w:rPr>
          <w:rFonts w:ascii="Arial" w:hAnsi="Arial" w:cs="Arial"/>
          <w:szCs w:val="22"/>
        </w:rPr>
        <w:t xml:space="preserve">, 2020; </w:t>
      </w:r>
      <w:proofErr w:type="spellStart"/>
      <w:r w:rsidRPr="00FF0ECB">
        <w:rPr>
          <w:rFonts w:ascii="Arial" w:hAnsi="Arial" w:cs="Arial"/>
          <w:szCs w:val="22"/>
        </w:rPr>
        <w:t>Sotiriadou</w:t>
      </w:r>
      <w:proofErr w:type="spellEnd"/>
      <w:r w:rsidRPr="00FF0ECB">
        <w:rPr>
          <w:rFonts w:ascii="Arial" w:hAnsi="Arial" w:cs="Arial"/>
          <w:szCs w:val="22"/>
        </w:rPr>
        <w:t xml:space="preserve"> et al., 2020). These aspects of IOAs are crucial considerations in the rapidly evolving assessment landscape influenced by generative artificial intelligence. For these reasons, the University of Melbourne has classified IOAs as </w:t>
      </w:r>
      <w:r w:rsidR="003E1945" w:rsidRPr="00331AF8">
        <w:lastRenderedPageBreak/>
        <w:t>a form of secure assessment</w:t>
      </w:r>
      <w:r w:rsidR="00F25FDD">
        <w:t xml:space="preserve"> (</w:t>
      </w:r>
      <w:hyperlink r:id="rId15" w:history="1">
        <w:r w:rsidR="00F25FDD" w:rsidRPr="00847F09">
          <w:rPr>
            <w:rStyle w:val="Hyperlink"/>
          </w:rPr>
          <w:t>https://about.unimelb.edu.au/education-melbourne/assuring-learning-at-melbourne/secure-assessment</w:t>
        </w:r>
      </w:hyperlink>
      <w:r w:rsidR="00F25FDD">
        <w:t>)</w:t>
      </w:r>
      <w:r w:rsidRPr="00FF0ECB">
        <w:rPr>
          <w:rFonts w:ascii="Arial" w:hAnsi="Arial" w:cs="Arial"/>
          <w:szCs w:val="22"/>
        </w:rPr>
        <w:t xml:space="preserve">. </w:t>
      </w:r>
    </w:p>
    <w:p w14:paraId="346CB6EC" w14:textId="03E3AD81" w:rsidR="00FF0ECB" w:rsidRPr="00FF0ECB" w:rsidRDefault="00FF0ECB" w:rsidP="00FF0ECB">
      <w:pPr>
        <w:rPr>
          <w:rFonts w:ascii="Arial" w:hAnsi="Arial" w:cs="Arial"/>
          <w:szCs w:val="22"/>
        </w:rPr>
      </w:pPr>
      <w:r w:rsidRPr="00FF0ECB">
        <w:rPr>
          <w:rFonts w:ascii="Arial" w:hAnsi="Arial" w:cs="Arial"/>
          <w:szCs w:val="22"/>
        </w:rPr>
        <w:t xml:space="preserve">For more benefits of IOAs compared to traditional assessment formats, see </w:t>
      </w:r>
      <w:r w:rsidR="003003A5" w:rsidRPr="00331AF8">
        <w:t>this resource</w:t>
      </w:r>
      <w:r w:rsidRPr="00FF0ECB">
        <w:rPr>
          <w:rFonts w:ascii="Arial" w:hAnsi="Arial" w:cs="Arial"/>
          <w:szCs w:val="22"/>
        </w:rPr>
        <w:t xml:space="preserve"> produced by Teaching and Learning Innovation</w:t>
      </w:r>
      <w:r w:rsidR="003003A5">
        <w:rPr>
          <w:rFonts w:ascii="Arial" w:hAnsi="Arial" w:cs="Arial"/>
          <w:szCs w:val="22"/>
        </w:rPr>
        <w:t xml:space="preserve">: </w:t>
      </w:r>
      <w:hyperlink r:id="rId16" w:history="1">
        <w:r w:rsidR="003003A5" w:rsidRPr="00847F09">
          <w:rPr>
            <w:rStyle w:val="Hyperlink"/>
            <w:rFonts w:ascii="Arial" w:hAnsi="Arial" w:cs="Arial"/>
            <w:szCs w:val="22"/>
          </w:rPr>
          <w:t>https://www.unimelb.edu.au/tli/news/articles/interactive-oral-assessments</w:t>
        </w:r>
      </w:hyperlink>
      <w:r w:rsidRPr="00FF0ECB">
        <w:rPr>
          <w:rFonts w:ascii="Arial" w:hAnsi="Arial" w:cs="Arial"/>
          <w:szCs w:val="22"/>
        </w:rPr>
        <w:t>.</w:t>
      </w:r>
    </w:p>
    <w:p w14:paraId="308E1676" w14:textId="32A25C37" w:rsidR="00964F8C" w:rsidRPr="00FF0ECB" w:rsidRDefault="00FF0ECB" w:rsidP="00FF0ECB">
      <w:pPr>
        <w:pStyle w:val="Heading1"/>
        <w:rPr>
          <w:szCs w:val="28"/>
        </w:rPr>
      </w:pPr>
      <w:r>
        <w:rPr>
          <w:szCs w:val="28"/>
        </w:rPr>
        <w:t>Designing Effective IOAs</w:t>
      </w:r>
    </w:p>
    <w:p w14:paraId="693DE668" w14:textId="77777777" w:rsidR="00FF0ECB" w:rsidRPr="00FF0ECB" w:rsidRDefault="00FF0ECB" w:rsidP="00FF0ECB">
      <w:pPr>
        <w:pStyle w:val="Heading2"/>
        <w:rPr>
          <w:szCs w:val="24"/>
        </w:rPr>
      </w:pPr>
      <w:r w:rsidRPr="00FF0ECB">
        <w:rPr>
          <w:szCs w:val="24"/>
        </w:rPr>
        <w:t>Alignment with Learning Outcomes</w:t>
      </w:r>
    </w:p>
    <w:p w14:paraId="06BD0AF6" w14:textId="77777777" w:rsidR="00FF0ECB" w:rsidRPr="00FF0ECB" w:rsidRDefault="00FF0ECB" w:rsidP="00FF0ECB">
      <w:pPr>
        <w:spacing w:before="0"/>
        <w:rPr>
          <w:rFonts w:ascii="Arial" w:hAnsi="Arial" w:cs="Arial"/>
          <w:szCs w:val="22"/>
        </w:rPr>
      </w:pPr>
      <w:r w:rsidRPr="00FF0ECB">
        <w:rPr>
          <w:rFonts w:ascii="Arial" w:hAnsi="Arial" w:cs="Arial"/>
          <w:szCs w:val="22"/>
        </w:rPr>
        <w:t xml:space="preserve">The design of an IOA should be carefully aligned with the subject’s learning outcomes and, where appropriate, the broader program-level graduate attributes (O’Riordan et al., 2025). This not only increases assessment validity but also supports constructive alignment across the curriculum. It is valuable for educators to therefore identify what competencies the IOA aims to assess; for instance, is the emphasis on communication skills, critical thinking, content application, or the ability to engage in disciplinary discourse? Such decisions will help inform the scenario, question structure, and marking criteria of the IOA. </w:t>
      </w:r>
      <w:r w:rsidRPr="00FF0ECB">
        <w:rPr>
          <w:rFonts w:ascii="Arial" w:hAnsi="Arial" w:cs="Arial"/>
          <w:szCs w:val="22"/>
          <w:lang w:val="en-US"/>
        </w:rPr>
        <w:t>By clearly defining the assessment objectives in relation to learning outcomes, educators can create a more focused and effective assessment tool that accurately measures student progress and achievement in key areas.</w:t>
      </w:r>
    </w:p>
    <w:p w14:paraId="1D5A376A" w14:textId="77777777" w:rsidR="00FF0ECB" w:rsidRPr="00FF0ECB" w:rsidRDefault="00FF0ECB" w:rsidP="00FF0ECB">
      <w:pPr>
        <w:pStyle w:val="Heading2"/>
        <w:rPr>
          <w:szCs w:val="24"/>
        </w:rPr>
      </w:pPr>
      <w:r w:rsidRPr="00FF0ECB">
        <w:rPr>
          <w:szCs w:val="24"/>
        </w:rPr>
        <w:t>Choosing the Task Format and Delivery Mode</w:t>
      </w:r>
    </w:p>
    <w:p w14:paraId="290CB241" w14:textId="77777777" w:rsidR="00FF0ECB" w:rsidRPr="00FF0ECB" w:rsidRDefault="00FF0ECB" w:rsidP="00FF0ECB">
      <w:pPr>
        <w:spacing w:before="0"/>
        <w:rPr>
          <w:rFonts w:ascii="Arial" w:hAnsi="Arial" w:cs="Arial"/>
          <w:szCs w:val="22"/>
        </w:rPr>
      </w:pPr>
      <w:r w:rsidRPr="00FF0ECB">
        <w:rPr>
          <w:rFonts w:ascii="Arial" w:hAnsi="Arial" w:cs="Arial"/>
          <w:szCs w:val="22"/>
        </w:rPr>
        <w:t>Designing an IOA involves making several important decisions about format and mode of delivery:</w:t>
      </w:r>
    </w:p>
    <w:p w14:paraId="671F2BCC" w14:textId="77777777" w:rsidR="00FF0ECB" w:rsidRPr="00FF0ECB" w:rsidRDefault="00FF0ECB" w:rsidP="00FF0ECB">
      <w:pPr>
        <w:spacing w:before="0"/>
        <w:rPr>
          <w:rFonts w:ascii="Arial" w:hAnsi="Arial" w:cs="Arial"/>
          <w:szCs w:val="22"/>
        </w:rPr>
      </w:pPr>
      <w:r w:rsidRPr="00FF0ECB">
        <w:rPr>
          <w:rFonts w:ascii="Arial" w:hAnsi="Arial" w:cs="Arial"/>
          <w:b/>
          <w:bCs/>
          <w:szCs w:val="22"/>
        </w:rPr>
        <w:t>Individual vs Group:</w:t>
      </w:r>
      <w:r w:rsidRPr="00FF0ECB">
        <w:rPr>
          <w:rFonts w:ascii="Arial" w:hAnsi="Arial" w:cs="Arial"/>
          <w:szCs w:val="22"/>
        </w:rPr>
        <w:t xml:space="preserve"> The choice between individual and group IOAs is often informed by the professional scenario being simulated. For example, job interviews or clinical consultations lend themselves to individual formats, while business pitches or collaborative project reviews may be better suited to group formats. Group IOAs can also help with managing large student cohorts efficiently. However, when implementing a group format, consider including mechanisms to ensure individual students’ contributions are identifiable. These might include asking each student specific follow-up questions or prompting them to comment on sections of an artefact they did not specifically develop.</w:t>
      </w:r>
    </w:p>
    <w:p w14:paraId="31E01630" w14:textId="77777777" w:rsidR="00FF0ECB" w:rsidRPr="00FF0ECB" w:rsidRDefault="00FF0ECB" w:rsidP="00FF0ECB">
      <w:pPr>
        <w:spacing w:before="0"/>
        <w:rPr>
          <w:rFonts w:ascii="Arial" w:hAnsi="Arial" w:cs="Arial"/>
          <w:szCs w:val="22"/>
        </w:rPr>
      </w:pPr>
      <w:r w:rsidRPr="00FF0ECB">
        <w:rPr>
          <w:rFonts w:ascii="Arial" w:hAnsi="Arial" w:cs="Arial"/>
          <w:b/>
          <w:bCs/>
          <w:szCs w:val="22"/>
        </w:rPr>
        <w:t>Peer-Involved vs Peer-Excluded:</w:t>
      </w:r>
      <w:r w:rsidRPr="00FF0ECB">
        <w:rPr>
          <w:rFonts w:ascii="Arial" w:hAnsi="Arial" w:cs="Arial"/>
          <w:szCs w:val="22"/>
        </w:rPr>
        <w:t xml:space="preserve"> </w:t>
      </w:r>
      <w:r w:rsidRPr="00FF0ECB" w:rsidDel="00C564DA">
        <w:rPr>
          <w:rFonts w:ascii="Arial" w:hAnsi="Arial" w:cs="Arial"/>
          <w:szCs w:val="22"/>
        </w:rPr>
        <w:t>In</w:t>
      </w:r>
      <w:r w:rsidRPr="00FF0ECB">
        <w:rPr>
          <w:rFonts w:ascii="Arial" w:hAnsi="Arial" w:cs="Arial"/>
          <w:szCs w:val="22"/>
        </w:rPr>
        <w:t xml:space="preserve"> design-based or creative disciplines, IOAs often occur during class time and involve peer interaction (e.g., to simulate critique sessions or exhibition presentations). While this format supports peer learning and may be highly appropriate in certain professional scenarios, it also requires careful guidance to students on their roles and expectations within the process. For example, clarify whether peers are</w:t>
      </w:r>
      <w:r w:rsidRPr="00FF0ECB" w:rsidDel="00A03382">
        <w:rPr>
          <w:rFonts w:ascii="Arial" w:hAnsi="Arial" w:cs="Arial"/>
          <w:szCs w:val="22"/>
        </w:rPr>
        <w:t xml:space="preserve"> </w:t>
      </w:r>
      <w:r w:rsidRPr="00FF0ECB">
        <w:rPr>
          <w:rFonts w:ascii="Arial" w:hAnsi="Arial" w:cs="Arial"/>
          <w:szCs w:val="22"/>
        </w:rPr>
        <w:t xml:space="preserve">required to ask questions of students, provide feedback on performance, or fulfill other specific roles. IOAs that exclude peer interaction may provide greater control over assessment </w:t>
      </w:r>
      <w:r w:rsidRPr="00FF0ECB" w:rsidDel="00AF46E8">
        <w:rPr>
          <w:rFonts w:ascii="Arial" w:hAnsi="Arial" w:cs="Arial"/>
          <w:szCs w:val="22"/>
        </w:rPr>
        <w:t>conditions</w:t>
      </w:r>
      <w:r w:rsidRPr="00FF0ECB">
        <w:rPr>
          <w:rFonts w:ascii="Arial" w:hAnsi="Arial" w:cs="Arial"/>
          <w:szCs w:val="22"/>
        </w:rPr>
        <w:t xml:space="preserve"> and be a more authentic choice, depending on the professional scenario (e.g., job interviews, business pitches). However, if this approach requires the IOAs to be held outside of regular class time (i.e. when peers are not present), it necessitates advance planning to mitigate scheduling issues.</w:t>
      </w:r>
    </w:p>
    <w:p w14:paraId="7CC00A8C" w14:textId="77777777" w:rsidR="00FF0ECB" w:rsidRPr="00FF0ECB" w:rsidRDefault="00FF0ECB" w:rsidP="00FF0ECB">
      <w:pPr>
        <w:spacing w:before="0"/>
        <w:rPr>
          <w:rFonts w:ascii="Arial" w:hAnsi="Arial" w:cs="Arial"/>
          <w:szCs w:val="22"/>
        </w:rPr>
      </w:pPr>
      <w:r w:rsidRPr="00FF0ECB">
        <w:rPr>
          <w:rFonts w:ascii="Arial" w:hAnsi="Arial" w:cs="Arial"/>
          <w:b/>
          <w:bCs/>
          <w:szCs w:val="22"/>
        </w:rPr>
        <w:lastRenderedPageBreak/>
        <w:t>Artefact-Based vs Stand-Alone:</w:t>
      </w:r>
      <w:r w:rsidRPr="00FF0ECB">
        <w:rPr>
          <w:rFonts w:ascii="Arial" w:hAnsi="Arial" w:cs="Arial"/>
          <w:szCs w:val="22"/>
        </w:rPr>
        <w:t xml:space="preserve"> Some IOAs are linked to a student-created artefact (e.g., a report, portfolio, or creative work) which becomes the basis for the interaction with the assessor. This format allows students to demonstrate their understanding of the artefact, explain their process, and contextualise and defend their work. Others are stand-alone tasks that simulate scenarios such as job interviews, public statements, or case briefings. The choice between these formats is ideally</w:t>
      </w:r>
      <w:r w:rsidRPr="00FF0ECB" w:rsidDel="00F358BC">
        <w:rPr>
          <w:rFonts w:ascii="Arial" w:hAnsi="Arial" w:cs="Arial"/>
          <w:szCs w:val="22"/>
        </w:rPr>
        <w:t xml:space="preserve"> </w:t>
      </w:r>
      <w:r w:rsidRPr="00FF0ECB">
        <w:rPr>
          <w:rFonts w:ascii="Arial" w:hAnsi="Arial" w:cs="Arial"/>
          <w:szCs w:val="22"/>
        </w:rPr>
        <w:t>based on the learning outcomes and disciplinary norms. Artefact-based IOAs may require assessors to engage with (e.g., assess and mark) the submitted work prior to the IOA, as this enables them to prepare individualised questions and be attuned to potential academic integrity breaches during the IOA. This approach, however, necessitates time and resources, which must be factored into workload expectations.</w:t>
      </w:r>
    </w:p>
    <w:p w14:paraId="6E619844" w14:textId="77777777" w:rsidR="00FF0ECB" w:rsidRPr="00FF0ECB" w:rsidRDefault="00FF0ECB" w:rsidP="00FF0ECB">
      <w:pPr>
        <w:spacing w:before="0"/>
        <w:rPr>
          <w:rFonts w:ascii="Arial" w:hAnsi="Arial" w:cs="Arial"/>
          <w:szCs w:val="22"/>
        </w:rPr>
      </w:pPr>
      <w:r w:rsidRPr="00FF0ECB">
        <w:rPr>
          <w:rFonts w:ascii="Arial" w:hAnsi="Arial" w:cs="Arial"/>
          <w:b/>
          <w:bCs/>
          <w:szCs w:val="22"/>
        </w:rPr>
        <w:t>Online vs In-Person:</w:t>
      </w:r>
      <w:r w:rsidRPr="00FF0ECB">
        <w:rPr>
          <w:rFonts w:ascii="Arial" w:hAnsi="Arial" w:cs="Arial"/>
          <w:szCs w:val="22"/>
        </w:rPr>
        <w:t xml:space="preserve"> Online IOAs, conducted via platforms like Zoom, offer logistical flexibility and accessibility but may raise concerns about assessment security. This is because it is possible for students to read from scripts or receive assistance from sophisticated generative AI tools. In extreme cases, students may even use digital avatars as impersonators. In contrast, in-person assessments provide a more controlled environment, enabling assessors to manage assessment security more effectively. They also allow assessors to observe non-verbal cues from students (e.g., body language) which can enhance their evaluation of student performance. However, in-person IOAs may present logistical challenges, such as the need to organise and acquire room bookings. Regardless of the chosen mode, clear protocols are essential to promote fairness and integrity. </w:t>
      </w:r>
    </w:p>
    <w:p w14:paraId="311B48D6" w14:textId="77777777" w:rsidR="00FF0ECB" w:rsidRPr="00FF0ECB" w:rsidRDefault="00FF0ECB" w:rsidP="00FF0ECB">
      <w:pPr>
        <w:spacing w:before="0"/>
        <w:rPr>
          <w:rFonts w:ascii="Arial" w:hAnsi="Arial" w:cs="Arial"/>
          <w:szCs w:val="22"/>
        </w:rPr>
      </w:pPr>
      <w:r w:rsidRPr="00FF0ECB">
        <w:rPr>
          <w:rFonts w:ascii="Arial" w:hAnsi="Arial" w:cs="Arial"/>
          <w:b/>
          <w:bCs/>
          <w:szCs w:val="22"/>
        </w:rPr>
        <w:t>Duration:</w:t>
      </w:r>
      <w:r w:rsidRPr="00FF0ECB">
        <w:rPr>
          <w:rFonts w:ascii="Arial" w:hAnsi="Arial" w:cs="Arial"/>
          <w:szCs w:val="22"/>
        </w:rPr>
        <w:t xml:space="preserve"> IOAs typically range from 10 to 15 minutes per student, with an additional 5 to 10 minutes for in situ marking (O'Riordan, 2023). Logan and </w:t>
      </w:r>
      <w:proofErr w:type="spellStart"/>
      <w:r w:rsidRPr="00FF0ECB">
        <w:rPr>
          <w:rFonts w:ascii="Arial" w:hAnsi="Arial" w:cs="Arial"/>
          <w:szCs w:val="22"/>
        </w:rPr>
        <w:t>Sotiriadou</w:t>
      </w:r>
      <w:proofErr w:type="spellEnd"/>
      <w:r w:rsidRPr="00FF0ECB">
        <w:rPr>
          <w:rFonts w:ascii="Arial" w:hAnsi="Arial" w:cs="Arial"/>
          <w:szCs w:val="22"/>
        </w:rPr>
        <w:t xml:space="preserve"> (2020) suggest that a 10 to 15-minute IOA is roughly equivalent to a 4000-word written assignment, depending on the level of interaction involved. Longer sessions may be warranted for higher-weighted assessments (e.g., capstone projects), although Fenton (2025) advises against sessions exceeding 20 minutes. Essentially, when determining the appropriate duration for an IOA, educators are recommended to consider the complexity of the subject matter, the number of learning outcomes being assessed, the level of detail required in student responses, and the overall weighting of the assessment within the subject. The chosen duration should also remain manageable for assessors, without contributing to excessive cognitive load or fatigue.</w:t>
      </w:r>
    </w:p>
    <w:p w14:paraId="7EC61560" w14:textId="77777777" w:rsidR="00FF0ECB" w:rsidRPr="00FF0ECB" w:rsidRDefault="00FF0ECB" w:rsidP="00FF0ECB">
      <w:pPr>
        <w:pStyle w:val="Heading2"/>
        <w:rPr>
          <w:szCs w:val="24"/>
        </w:rPr>
      </w:pPr>
      <w:r w:rsidRPr="00FF0ECB">
        <w:rPr>
          <w:szCs w:val="24"/>
        </w:rPr>
        <w:t>Scaffolding and Integration Within the Curriculum</w:t>
      </w:r>
    </w:p>
    <w:p w14:paraId="7793DB63" w14:textId="3D752286" w:rsidR="00FF0ECB" w:rsidRPr="00FF0ECB" w:rsidRDefault="00FF0ECB" w:rsidP="00FF0ECB">
      <w:pPr>
        <w:spacing w:before="0"/>
        <w:rPr>
          <w:rFonts w:ascii="Arial" w:hAnsi="Arial" w:cs="Arial"/>
          <w:szCs w:val="22"/>
        </w:rPr>
      </w:pPr>
      <w:r w:rsidRPr="00FF0ECB">
        <w:rPr>
          <w:rFonts w:ascii="Arial" w:hAnsi="Arial" w:cs="Arial"/>
          <w:szCs w:val="22"/>
        </w:rPr>
        <w:t>It is important that IOAs are appropriately scaffolded within the subject (or program</w:t>
      </w:r>
      <w:r w:rsidRPr="00FF0ECB" w:rsidDel="003A2F4F">
        <w:rPr>
          <w:rFonts w:ascii="Arial" w:hAnsi="Arial" w:cs="Arial"/>
          <w:szCs w:val="22"/>
        </w:rPr>
        <w:t xml:space="preserve">), </w:t>
      </w:r>
      <w:r w:rsidRPr="00FF0ECB" w:rsidDel="009378CC">
        <w:rPr>
          <w:rFonts w:ascii="Arial" w:hAnsi="Arial" w:cs="Arial"/>
          <w:szCs w:val="22"/>
        </w:rPr>
        <w:t xml:space="preserve">so </w:t>
      </w:r>
      <w:r w:rsidRPr="00FF0ECB">
        <w:rPr>
          <w:rFonts w:ascii="Arial" w:hAnsi="Arial" w:cs="Arial"/>
          <w:szCs w:val="22"/>
        </w:rPr>
        <w:t xml:space="preserve">that the skills being evaluated are developed incrementally. The placement of the IOA within the assessment design is a crucial element in this process, so it is important to consider whether the IOA will serve as a final summative evaluation or as a formative task scheduled earlier in the teaching period. </w:t>
      </w:r>
    </w:p>
    <w:p w14:paraId="434E4290" w14:textId="5EA91AD5" w:rsidR="00AC2462" w:rsidRDefault="00FF0ECB" w:rsidP="00FF0ECB">
      <w:pPr>
        <w:spacing w:before="0"/>
        <w:rPr>
          <w:rFonts w:ascii="Arial" w:hAnsi="Arial" w:cs="Arial"/>
          <w:szCs w:val="22"/>
        </w:rPr>
      </w:pPr>
      <w:r w:rsidRPr="00FF0ECB">
        <w:rPr>
          <w:rFonts w:ascii="Arial" w:hAnsi="Arial" w:cs="Arial"/>
          <w:szCs w:val="22"/>
        </w:rPr>
        <w:t xml:space="preserve">If the IOA is to be used as a final summative assessment, it is advisable to tailor teaching and learning activities and preceding assessment tasks to adequately prepare students for their evaluation (Fenton, 2025). These </w:t>
      </w:r>
      <w:r w:rsidRPr="00FF0ECB" w:rsidDel="009A5E32">
        <w:rPr>
          <w:rFonts w:ascii="Arial" w:hAnsi="Arial" w:cs="Arial"/>
          <w:szCs w:val="22"/>
        </w:rPr>
        <w:t>should</w:t>
      </w:r>
      <w:r w:rsidRPr="00FF0ECB" w:rsidDel="00792992">
        <w:rPr>
          <w:rFonts w:ascii="Arial" w:hAnsi="Arial" w:cs="Arial"/>
          <w:szCs w:val="22"/>
        </w:rPr>
        <w:t xml:space="preserve"> </w:t>
      </w:r>
      <w:r w:rsidRPr="00FF0ECB">
        <w:rPr>
          <w:rFonts w:ascii="Arial" w:hAnsi="Arial" w:cs="Arial"/>
          <w:szCs w:val="22"/>
        </w:rPr>
        <w:t xml:space="preserve">comprise authentic and discipline-specific activities / tasks that build students’ confidence and competencies. For example, students could be supported to engage in practice IOA sessions, which may focus on the specific assessment topic, their communication, or both (see Box 2 for examples). The formative value of these sessions can be enhanced by building in opportunities for </w:t>
      </w:r>
      <w:r w:rsidRPr="00FF0ECB">
        <w:rPr>
          <w:rFonts w:ascii="Arial" w:hAnsi="Arial" w:cs="Arial"/>
          <w:szCs w:val="22"/>
        </w:rPr>
        <w:lastRenderedPageBreak/>
        <w:t>teacher or peer feedback or even self-assessment. It may also be valuable to design teaching and learning activities that explicitly boost students’ academic oracy skills (e.g., class-based discussions, debates, group work, presentations, think-pair-share activities).</w:t>
      </w:r>
    </w:p>
    <w:p w14:paraId="5CDF2650" w14:textId="77777777" w:rsidR="00FF0ECB" w:rsidRPr="00FF0ECB" w:rsidRDefault="00FF0ECB" w:rsidP="00FF0ECB">
      <w:pPr>
        <w:pStyle w:val="Heading3"/>
        <w:rPr>
          <w:szCs w:val="22"/>
        </w:rPr>
      </w:pPr>
      <w:r w:rsidRPr="00FF0ECB">
        <w:rPr>
          <w:szCs w:val="22"/>
        </w:rPr>
        <w:t>Box 2. Examples of formative scaffolding activities that help build student confidence and capability before undertaking a summative IOA</w:t>
      </w:r>
    </w:p>
    <w:tbl>
      <w:tblPr>
        <w:tblStyle w:val="TableGrid"/>
        <w:tblW w:w="9634" w:type="dxa"/>
        <w:tblLook w:val="0400" w:firstRow="0" w:lastRow="0" w:firstColumn="0" w:lastColumn="0" w:noHBand="0" w:noVBand="1"/>
      </w:tblPr>
      <w:tblGrid>
        <w:gridCol w:w="4817"/>
        <w:gridCol w:w="4817"/>
      </w:tblGrid>
      <w:tr w:rsidR="00FF0ECB" w:rsidRPr="00FF0ECB" w14:paraId="42B6B885" w14:textId="77777777" w:rsidTr="00F45A39">
        <w:trPr>
          <w:trHeight w:val="300"/>
        </w:trPr>
        <w:tc>
          <w:tcPr>
            <w:tcW w:w="48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cBorders>
            <w:shd w:val="clear" w:color="auto" w:fill="F2F2F2" w:themeFill="background1" w:themeFillShade="F2"/>
          </w:tcPr>
          <w:p w14:paraId="77CDC232" w14:textId="77777777" w:rsidR="00FF0ECB" w:rsidRPr="00D422DF" w:rsidRDefault="00FF0ECB" w:rsidP="00C85106">
            <w:pPr>
              <w:numPr>
                <w:ilvl w:val="0"/>
                <w:numId w:val="45"/>
              </w:numPr>
              <w:spacing w:before="0" w:line="240" w:lineRule="auto"/>
              <w:rPr>
                <w:rFonts w:ascii="Arial" w:hAnsi="Arial" w:cs="Arial"/>
                <w:b/>
                <w:bCs/>
                <w:i/>
                <w:iCs/>
                <w:sz w:val="19"/>
                <w:szCs w:val="19"/>
              </w:rPr>
            </w:pPr>
            <w:r w:rsidRPr="00D422DF">
              <w:rPr>
                <w:rFonts w:ascii="Arial" w:hAnsi="Arial" w:cs="Arial"/>
                <w:b/>
                <w:bCs/>
                <w:i/>
                <w:iCs/>
                <w:sz w:val="19"/>
                <w:szCs w:val="19"/>
              </w:rPr>
              <w:t xml:space="preserve">Law </w:t>
            </w:r>
          </w:p>
          <w:p w14:paraId="2B9FF106"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Individual</w:t>
            </w:r>
          </w:p>
          <w:p w14:paraId="31EE4C92" w14:textId="77777777" w:rsidR="00FF0ECB" w:rsidRPr="00D422DF" w:rsidRDefault="00FF0ECB"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3A7BEB">
              <w:rPr>
                <w:rFonts w:ascii="Arial" w:hAnsi="Arial" w:cs="Arial"/>
                <w:sz w:val="19"/>
                <w:szCs w:val="19"/>
              </w:rPr>
              <w:t xml:space="preserve">Ethical reasoning, Argumentation </w:t>
            </w:r>
          </w:p>
          <w:p w14:paraId="1DFC4B44"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 xml:space="preserve">Scaffolding Exercise: </w:t>
            </w:r>
            <w:r w:rsidRPr="00BB7786">
              <w:rPr>
                <w:rFonts w:ascii="Arial" w:hAnsi="Arial" w:cs="Arial"/>
                <w:i/>
                <w:sz w:val="19"/>
                <w:szCs w:val="19"/>
              </w:rPr>
              <w:t>Peer Argument Clinics</w:t>
            </w:r>
            <w:r w:rsidRPr="00BB7786">
              <w:rPr>
                <w:rFonts w:ascii="Arial" w:hAnsi="Arial" w:cs="Arial"/>
                <w:sz w:val="19"/>
                <w:szCs w:val="19"/>
              </w:rPr>
              <w:t>.</w:t>
            </w:r>
            <w:r w:rsidRPr="00D422DF">
              <w:rPr>
                <w:rFonts w:ascii="Arial" w:hAnsi="Arial" w:cs="Arial"/>
                <w:sz w:val="19"/>
                <w:szCs w:val="19"/>
              </w:rPr>
              <w:br/>
              <w:t xml:space="preserve">Before the IOA, students participate in a </w:t>
            </w:r>
            <w:proofErr w:type="gramStart"/>
            <w:r w:rsidRPr="00D422DF">
              <w:rPr>
                <w:rFonts w:ascii="Arial" w:hAnsi="Arial" w:cs="Arial"/>
                <w:sz w:val="19"/>
                <w:szCs w:val="19"/>
              </w:rPr>
              <w:t>small-group</w:t>
            </w:r>
            <w:proofErr w:type="gramEnd"/>
            <w:r w:rsidRPr="00D422DF">
              <w:rPr>
                <w:rFonts w:ascii="Arial" w:hAnsi="Arial" w:cs="Arial"/>
                <w:sz w:val="19"/>
                <w:szCs w:val="19"/>
              </w:rPr>
              <w:t xml:space="preserve"> ‘argument clinic’ where they present and challenge each other's reasoning in response to a practice legal scenario, receiving peer and tutor feedback on clarity, structure, and ethical framing.</w:t>
            </w:r>
          </w:p>
          <w:p w14:paraId="72E03B74"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hint="eastAsia"/>
                <w:sz w:val="19"/>
                <w:szCs w:val="19"/>
              </w:rPr>
              <w:t>→</w:t>
            </w:r>
            <w:r w:rsidRPr="00D422DF">
              <w:rPr>
                <w:rFonts w:ascii="Arial" w:hAnsi="Arial" w:cs="Arial"/>
                <w:sz w:val="19"/>
                <w:szCs w:val="19"/>
              </w:rPr>
              <w:t> </w:t>
            </w:r>
            <w:r w:rsidRPr="00D422DF">
              <w:rPr>
                <w:rFonts w:ascii="Arial" w:hAnsi="Arial" w:cs="Arial"/>
                <w:i/>
                <w:iCs/>
                <w:sz w:val="19"/>
                <w:szCs w:val="19"/>
              </w:rPr>
              <w:t>Promotes dialogic rehearsal and metacognitive awareness of legal argument construction.</w:t>
            </w:r>
          </w:p>
        </w:tc>
        <w:tc>
          <w:tcPr>
            <w:tcW w:w="4817"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1F55C37C" w14:textId="77777777" w:rsidR="00FF0ECB" w:rsidRPr="00D422DF" w:rsidRDefault="00FF0ECB" w:rsidP="00C85106">
            <w:pPr>
              <w:numPr>
                <w:ilvl w:val="0"/>
                <w:numId w:val="46"/>
              </w:numPr>
              <w:spacing w:before="0" w:line="240" w:lineRule="auto"/>
              <w:rPr>
                <w:rFonts w:ascii="Arial" w:hAnsi="Arial" w:cs="Arial"/>
                <w:b/>
                <w:bCs/>
                <w:i/>
                <w:iCs/>
                <w:sz w:val="19"/>
                <w:szCs w:val="19"/>
              </w:rPr>
            </w:pPr>
            <w:r w:rsidRPr="00D422DF">
              <w:rPr>
                <w:rFonts w:ascii="Arial" w:hAnsi="Arial" w:cs="Arial"/>
                <w:b/>
                <w:bCs/>
                <w:i/>
                <w:iCs/>
                <w:sz w:val="19"/>
                <w:szCs w:val="19"/>
              </w:rPr>
              <w:t>Environmental Science</w:t>
            </w:r>
          </w:p>
          <w:p w14:paraId="383926B7"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 xml:space="preserve">Format: </w:t>
            </w:r>
            <w:r w:rsidRPr="003A7BEB">
              <w:rPr>
                <w:rFonts w:ascii="Arial" w:hAnsi="Arial" w:cs="Arial"/>
                <w:sz w:val="19"/>
                <w:szCs w:val="19"/>
              </w:rPr>
              <w:t>Group</w:t>
            </w:r>
          </w:p>
          <w:p w14:paraId="038F1CF1" w14:textId="77777777" w:rsidR="00FF0ECB" w:rsidRPr="00D422DF" w:rsidRDefault="00FF0ECB"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BB7786">
              <w:rPr>
                <w:rFonts w:ascii="Arial" w:hAnsi="Arial" w:cs="Arial"/>
                <w:sz w:val="19"/>
                <w:szCs w:val="19"/>
              </w:rPr>
              <w:t>Teamwork, Data literacy</w:t>
            </w:r>
            <w:r w:rsidRPr="00D422DF">
              <w:rPr>
                <w:rFonts w:ascii="Arial" w:hAnsi="Arial" w:cs="Arial"/>
                <w:b/>
                <w:bCs/>
                <w:sz w:val="19"/>
                <w:szCs w:val="19"/>
              </w:rPr>
              <w:t xml:space="preserve"> </w:t>
            </w:r>
          </w:p>
          <w:p w14:paraId="2455F097"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 xml:space="preserve">Scaffolding Exercise: </w:t>
            </w:r>
            <w:r w:rsidRPr="00BB7786">
              <w:rPr>
                <w:rFonts w:ascii="Arial" w:hAnsi="Arial" w:cs="Arial"/>
                <w:i/>
                <w:sz w:val="19"/>
                <w:szCs w:val="19"/>
              </w:rPr>
              <w:t>Collaborative Data Walkthrough</w:t>
            </w:r>
            <w:r w:rsidRPr="00BB7786">
              <w:rPr>
                <w:rFonts w:ascii="Arial" w:hAnsi="Arial" w:cs="Arial"/>
                <w:sz w:val="19"/>
                <w:szCs w:val="19"/>
              </w:rPr>
              <w:t xml:space="preserve">. </w:t>
            </w:r>
            <w:r w:rsidRPr="00D422DF">
              <w:rPr>
                <w:rFonts w:ascii="Arial" w:hAnsi="Arial" w:cs="Arial"/>
                <w:sz w:val="19"/>
                <w:szCs w:val="19"/>
              </w:rPr>
              <w:t>Each group participates in a guided in-class workshop where they work through a simplified dataset from a previous field study, with structured prompts on cleaning, visualising, interpreting, and narrating key findings.</w:t>
            </w:r>
          </w:p>
          <w:p w14:paraId="0FFB9CB0"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hint="eastAsia"/>
                <w:sz w:val="19"/>
                <w:szCs w:val="19"/>
              </w:rPr>
              <w:t>→</w:t>
            </w:r>
            <w:r w:rsidRPr="00D422DF">
              <w:rPr>
                <w:rFonts w:ascii="Arial" w:hAnsi="Arial" w:cs="Arial"/>
                <w:sz w:val="19"/>
                <w:szCs w:val="19"/>
              </w:rPr>
              <w:t> </w:t>
            </w:r>
            <w:r w:rsidRPr="00D422DF">
              <w:rPr>
                <w:rFonts w:ascii="Arial" w:hAnsi="Arial" w:cs="Arial"/>
                <w:i/>
                <w:iCs/>
                <w:sz w:val="19"/>
                <w:szCs w:val="19"/>
              </w:rPr>
              <w:t>Builds familiarity with real data variability and hones shared interpretation and communication strategies.</w:t>
            </w:r>
          </w:p>
        </w:tc>
      </w:tr>
      <w:tr w:rsidR="00FF0ECB" w:rsidRPr="00FF0ECB" w14:paraId="54964826" w14:textId="77777777" w:rsidTr="00F45A39">
        <w:trPr>
          <w:trHeight w:val="300"/>
        </w:trPr>
        <w:tc>
          <w:tcPr>
            <w:tcW w:w="4817" w:type="dxa"/>
            <w:tcBorders>
              <w:top w:val="single" w:sz="4" w:space="0" w:color="A6A6A6" w:themeColor="background1" w:themeShade="A6"/>
              <w:left w:val="single" w:sz="4" w:space="0" w:color="A6A6A6" w:themeColor="background1" w:themeShade="A6"/>
              <w:bottom w:val="single" w:sz="4" w:space="0" w:color="A6A6A6"/>
              <w:right w:val="single" w:sz="4" w:space="0" w:color="A6A6A6"/>
            </w:tcBorders>
            <w:shd w:val="clear" w:color="auto" w:fill="F2F2F2" w:themeFill="background1" w:themeFillShade="F2"/>
          </w:tcPr>
          <w:p w14:paraId="76D1A313" w14:textId="77777777" w:rsidR="00FF0ECB" w:rsidRPr="00D422DF" w:rsidRDefault="00FF0ECB" w:rsidP="00C85106">
            <w:pPr>
              <w:numPr>
                <w:ilvl w:val="0"/>
                <w:numId w:val="47"/>
              </w:numPr>
              <w:spacing w:before="0" w:line="240" w:lineRule="auto"/>
              <w:rPr>
                <w:rFonts w:ascii="Arial" w:hAnsi="Arial" w:cs="Arial"/>
                <w:b/>
                <w:bCs/>
                <w:i/>
                <w:iCs/>
                <w:sz w:val="19"/>
                <w:szCs w:val="19"/>
              </w:rPr>
            </w:pPr>
            <w:r w:rsidRPr="00D422DF">
              <w:rPr>
                <w:rFonts w:ascii="Arial" w:hAnsi="Arial" w:cs="Arial"/>
                <w:b/>
                <w:bCs/>
                <w:i/>
                <w:iCs/>
                <w:sz w:val="19"/>
                <w:szCs w:val="19"/>
              </w:rPr>
              <w:t xml:space="preserve">Nursing </w:t>
            </w:r>
          </w:p>
          <w:p w14:paraId="636A0B28"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Format: Group</w:t>
            </w:r>
          </w:p>
          <w:p w14:paraId="763AF616" w14:textId="77777777" w:rsidR="00FF0ECB" w:rsidRPr="00D422DF" w:rsidRDefault="00FF0ECB"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BB7786">
              <w:rPr>
                <w:rFonts w:ascii="Arial" w:hAnsi="Arial" w:cs="Arial"/>
                <w:sz w:val="19"/>
                <w:szCs w:val="19"/>
              </w:rPr>
              <w:t>Professional judgement, Rapid decision-making</w:t>
            </w:r>
          </w:p>
          <w:p w14:paraId="4EFFB429"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 xml:space="preserve">Scaffolding Exercise: </w:t>
            </w:r>
            <w:r w:rsidRPr="00BB7786">
              <w:rPr>
                <w:rFonts w:ascii="Arial" w:hAnsi="Arial" w:cs="Arial"/>
                <w:i/>
                <w:sz w:val="19"/>
                <w:szCs w:val="19"/>
              </w:rPr>
              <w:t>Role-Play with Time-Pressure Simulation Cards.</w:t>
            </w:r>
            <w:r w:rsidRPr="00D422DF">
              <w:rPr>
                <w:rFonts w:ascii="Arial" w:hAnsi="Arial" w:cs="Arial"/>
                <w:b/>
                <w:bCs/>
                <w:i/>
                <w:sz w:val="19"/>
                <w:szCs w:val="19"/>
              </w:rPr>
              <w:t xml:space="preserve"> </w:t>
            </w:r>
            <w:r w:rsidRPr="00D422DF">
              <w:rPr>
                <w:rFonts w:ascii="Arial" w:hAnsi="Arial" w:cs="Arial"/>
                <w:sz w:val="19"/>
                <w:szCs w:val="19"/>
              </w:rPr>
              <w:t>In teams, students role-play a short emergency care scenario using randomly drawn ‘event cards’ (e.g., sudden vitals drop, family distress), followed by a group debrief on clinical decision-making and prioritisation under pressure.</w:t>
            </w:r>
          </w:p>
          <w:p w14:paraId="42AF60A3"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hint="eastAsia"/>
                <w:sz w:val="19"/>
                <w:szCs w:val="19"/>
              </w:rPr>
              <w:t>→</w:t>
            </w:r>
            <w:r w:rsidRPr="00D422DF">
              <w:rPr>
                <w:rFonts w:ascii="Arial" w:hAnsi="Arial" w:cs="Arial"/>
                <w:sz w:val="19"/>
                <w:szCs w:val="19"/>
              </w:rPr>
              <w:t> </w:t>
            </w:r>
            <w:r w:rsidRPr="00D422DF">
              <w:rPr>
                <w:rFonts w:ascii="Arial" w:hAnsi="Arial" w:cs="Arial"/>
                <w:i/>
                <w:sz w:val="19"/>
                <w:szCs w:val="19"/>
              </w:rPr>
              <w:t>D</w:t>
            </w:r>
            <w:r w:rsidRPr="00D422DF">
              <w:rPr>
                <w:rFonts w:ascii="Arial" w:hAnsi="Arial" w:cs="Arial"/>
                <w:i/>
                <w:iCs/>
                <w:sz w:val="19"/>
                <w:szCs w:val="19"/>
              </w:rPr>
              <w:t>evelops rapid response and team communication skills in a safe, low-stakes context.</w:t>
            </w:r>
          </w:p>
        </w:tc>
        <w:tc>
          <w:tcPr>
            <w:tcW w:w="4817" w:type="dxa"/>
            <w:tcBorders>
              <w:top w:val="single" w:sz="4" w:space="0" w:color="A6A6A6"/>
              <w:left w:val="single" w:sz="4" w:space="0" w:color="A6A6A6"/>
              <w:bottom w:val="single" w:sz="4" w:space="0" w:color="A6A6A6"/>
              <w:right w:val="single" w:sz="4" w:space="0" w:color="A6A6A6"/>
            </w:tcBorders>
            <w:shd w:val="clear" w:color="auto" w:fill="F2F2F2" w:themeFill="background1" w:themeFillShade="F2"/>
          </w:tcPr>
          <w:p w14:paraId="5D1B1B97" w14:textId="77777777" w:rsidR="00FF0ECB" w:rsidRPr="00D422DF" w:rsidRDefault="00FF0ECB" w:rsidP="00C85106">
            <w:pPr>
              <w:numPr>
                <w:ilvl w:val="0"/>
                <w:numId w:val="47"/>
              </w:numPr>
              <w:spacing w:before="0" w:line="240" w:lineRule="auto"/>
              <w:rPr>
                <w:rFonts w:ascii="Arial" w:hAnsi="Arial" w:cs="Arial"/>
                <w:b/>
                <w:bCs/>
                <w:i/>
                <w:iCs/>
                <w:sz w:val="19"/>
                <w:szCs w:val="19"/>
              </w:rPr>
            </w:pPr>
            <w:r w:rsidRPr="00D422DF">
              <w:rPr>
                <w:rFonts w:ascii="Arial" w:hAnsi="Arial" w:cs="Arial"/>
                <w:b/>
                <w:bCs/>
                <w:i/>
                <w:iCs/>
                <w:sz w:val="19"/>
                <w:szCs w:val="19"/>
              </w:rPr>
              <w:t xml:space="preserve">Economics </w:t>
            </w:r>
          </w:p>
          <w:p w14:paraId="73FE498B"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Format: Individual</w:t>
            </w:r>
          </w:p>
          <w:p w14:paraId="7D584397" w14:textId="77777777" w:rsidR="00FF0ECB" w:rsidRPr="00D422DF" w:rsidRDefault="00FF0ECB" w:rsidP="00C85106">
            <w:pPr>
              <w:spacing w:before="0" w:line="240" w:lineRule="auto"/>
              <w:rPr>
                <w:rFonts w:ascii="Arial" w:hAnsi="Arial" w:cs="Arial"/>
                <w:b/>
                <w:bCs/>
                <w:sz w:val="19"/>
                <w:szCs w:val="19"/>
              </w:rPr>
            </w:pPr>
            <w:r w:rsidRPr="00D422DF">
              <w:rPr>
                <w:rFonts w:ascii="Arial" w:hAnsi="Arial" w:cs="Arial"/>
                <w:b/>
                <w:bCs/>
                <w:sz w:val="19"/>
                <w:szCs w:val="19"/>
              </w:rPr>
              <w:t xml:space="preserve">Learning outcomes: </w:t>
            </w:r>
            <w:r w:rsidRPr="00BB7786">
              <w:rPr>
                <w:rFonts w:ascii="Arial" w:hAnsi="Arial" w:cs="Arial"/>
                <w:sz w:val="19"/>
                <w:szCs w:val="19"/>
              </w:rPr>
              <w:t xml:space="preserve">Critical thinking, Quantitative reasoning </w:t>
            </w:r>
          </w:p>
          <w:p w14:paraId="3E25FFDA"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b/>
                <w:bCs/>
                <w:sz w:val="19"/>
                <w:szCs w:val="19"/>
              </w:rPr>
              <w:t>Scaffolding Exercise:</w:t>
            </w:r>
            <w:r w:rsidRPr="00D422DF">
              <w:rPr>
                <w:rFonts w:ascii="Arial" w:hAnsi="Arial" w:cs="Arial"/>
                <w:b/>
                <w:bCs/>
                <w:i/>
                <w:sz w:val="19"/>
                <w:szCs w:val="19"/>
              </w:rPr>
              <w:t xml:space="preserve"> </w:t>
            </w:r>
            <w:r w:rsidRPr="00BB7786">
              <w:rPr>
                <w:rFonts w:ascii="Arial" w:hAnsi="Arial" w:cs="Arial"/>
                <w:i/>
                <w:sz w:val="19"/>
                <w:szCs w:val="19"/>
              </w:rPr>
              <w:t xml:space="preserve">Annotated Policy Brief Dissection. </w:t>
            </w:r>
            <w:r w:rsidRPr="00D422DF">
              <w:rPr>
                <w:rFonts w:ascii="Arial" w:hAnsi="Arial" w:cs="Arial"/>
                <w:sz w:val="19"/>
                <w:szCs w:val="19"/>
              </w:rPr>
              <w:t>Students are given a high-quality past policy memo and, in pairs, annotate it with observations on data use, assumptions, and argument structure, followed by a class discussion on strengths and potential pitfalls.</w:t>
            </w:r>
          </w:p>
          <w:p w14:paraId="52D51BBF" w14:textId="77777777" w:rsidR="00FF0ECB" w:rsidRPr="00D422DF" w:rsidRDefault="00FF0ECB" w:rsidP="00C85106">
            <w:pPr>
              <w:spacing w:before="0" w:line="240" w:lineRule="auto"/>
              <w:rPr>
                <w:rFonts w:ascii="Arial" w:hAnsi="Arial" w:cs="Arial"/>
                <w:sz w:val="19"/>
                <w:szCs w:val="19"/>
              </w:rPr>
            </w:pPr>
            <w:r w:rsidRPr="00D422DF">
              <w:rPr>
                <w:rFonts w:ascii="Arial" w:hAnsi="Arial" w:cs="Arial" w:hint="eastAsia"/>
                <w:sz w:val="19"/>
                <w:szCs w:val="19"/>
              </w:rPr>
              <w:t>→</w:t>
            </w:r>
            <w:r w:rsidRPr="00D422DF">
              <w:rPr>
                <w:rFonts w:ascii="Arial" w:hAnsi="Arial" w:cs="Arial"/>
                <w:sz w:val="19"/>
                <w:szCs w:val="19"/>
              </w:rPr>
              <w:t> </w:t>
            </w:r>
            <w:r w:rsidRPr="00D422DF">
              <w:rPr>
                <w:rFonts w:ascii="Arial" w:hAnsi="Arial" w:cs="Arial"/>
                <w:i/>
                <w:iCs/>
                <w:sz w:val="19"/>
                <w:szCs w:val="19"/>
              </w:rPr>
              <w:t>Builds analytical literacy and models the expectations for evidence-informed oral defence.</w:t>
            </w:r>
          </w:p>
        </w:tc>
      </w:tr>
    </w:tbl>
    <w:p w14:paraId="03DA405F" w14:textId="77777777" w:rsidR="00C85106" w:rsidRDefault="00C85106" w:rsidP="00FF0ECB">
      <w:pPr>
        <w:spacing w:before="0"/>
        <w:rPr>
          <w:rFonts w:ascii="Arial" w:hAnsi="Arial" w:cs="Arial"/>
          <w:szCs w:val="22"/>
        </w:rPr>
      </w:pPr>
    </w:p>
    <w:p w14:paraId="7390EFFC" w14:textId="1A4FD63A" w:rsidR="00FF0ECB" w:rsidRPr="00FF0ECB" w:rsidRDefault="00C85106" w:rsidP="00FF0ECB">
      <w:pPr>
        <w:spacing w:before="0"/>
        <w:rPr>
          <w:rFonts w:ascii="Arial" w:hAnsi="Arial" w:cs="Arial"/>
          <w:szCs w:val="22"/>
        </w:rPr>
      </w:pPr>
      <w:r w:rsidRPr="00C85106">
        <w:rPr>
          <w:rFonts w:ascii="Arial" w:hAnsi="Arial" w:cs="Arial"/>
          <w:szCs w:val="22"/>
        </w:rPr>
        <w:t>If the IOA is not the final assessment, educators must then consider how students can apply their experience in the IOA, and the feedback they receive from assessors, to improve in subsequent tasks or performances. This approach ensures the IOA is an integral part of the learning process rather than an isolated event.</w:t>
      </w:r>
    </w:p>
    <w:p w14:paraId="3C10C676" w14:textId="1E86359F" w:rsidR="00C85106" w:rsidRPr="001D7311" w:rsidRDefault="00C85106" w:rsidP="001D7311">
      <w:pPr>
        <w:pStyle w:val="Heading2"/>
        <w:rPr>
          <w:szCs w:val="24"/>
        </w:rPr>
      </w:pPr>
      <w:r w:rsidRPr="001D7311">
        <w:rPr>
          <w:szCs w:val="24"/>
        </w:rPr>
        <w:t>Scope and Criteria</w:t>
      </w:r>
    </w:p>
    <w:p w14:paraId="1BB6DC52" w14:textId="654D6CB5" w:rsidR="00C85106" w:rsidRPr="00C85106" w:rsidRDefault="00C85106" w:rsidP="00C85106">
      <w:pPr>
        <w:spacing w:after="0"/>
        <w:rPr>
          <w:rFonts w:ascii="Arial" w:hAnsi="Arial" w:cs="Arial"/>
          <w:szCs w:val="22"/>
        </w:rPr>
      </w:pPr>
      <w:r w:rsidRPr="00C85106">
        <w:rPr>
          <w:rFonts w:ascii="Arial" w:hAnsi="Arial" w:cs="Arial"/>
          <w:szCs w:val="22"/>
        </w:rPr>
        <w:t>Clear communication about the scope and expectations of the IOA is essential. It is important that students understand what topics may be covered, how the conversation will unfold, and what criteria they will be assessed against (</w:t>
      </w:r>
      <w:proofErr w:type="spellStart"/>
      <w:r w:rsidRPr="00C85106">
        <w:rPr>
          <w:rFonts w:ascii="Arial" w:eastAsia="Aptos" w:hAnsi="Arial" w:cs="Arial"/>
          <w:szCs w:val="22"/>
        </w:rPr>
        <w:t>Sotiriadou</w:t>
      </w:r>
      <w:proofErr w:type="spellEnd"/>
      <w:r w:rsidRPr="00C85106">
        <w:rPr>
          <w:rFonts w:ascii="Arial" w:eastAsia="Aptos" w:hAnsi="Arial" w:cs="Arial"/>
          <w:szCs w:val="22"/>
        </w:rPr>
        <w:t xml:space="preserve"> et al., 2020)</w:t>
      </w:r>
      <w:r w:rsidRPr="00C85106">
        <w:rPr>
          <w:rFonts w:ascii="Arial" w:hAnsi="Arial" w:cs="Arial"/>
          <w:szCs w:val="22"/>
        </w:rPr>
        <w:t>.</w:t>
      </w:r>
    </w:p>
    <w:p w14:paraId="512EE67E" w14:textId="77777777" w:rsidR="00C85106" w:rsidRPr="00C85106" w:rsidRDefault="00C85106" w:rsidP="00C85106">
      <w:pPr>
        <w:spacing w:after="0"/>
        <w:rPr>
          <w:rFonts w:ascii="Arial" w:hAnsi="Arial" w:cs="Arial"/>
          <w:szCs w:val="22"/>
        </w:rPr>
      </w:pPr>
      <w:r w:rsidRPr="00C85106">
        <w:rPr>
          <w:rFonts w:ascii="Arial" w:hAnsi="Arial" w:cs="Arial"/>
          <w:szCs w:val="22"/>
        </w:rPr>
        <w:t xml:space="preserve">Share assessment rubrics with students early in the teaching period, outlining clear descriptors that map to levels of performance for each criterion. </w:t>
      </w:r>
      <w:r w:rsidRPr="00C85106">
        <w:rPr>
          <w:rFonts w:ascii="Arial" w:eastAsia="Aptos" w:hAnsi="Arial" w:cs="Arial"/>
          <w:szCs w:val="22"/>
        </w:rPr>
        <w:t>This allows students to adequately prepare, while also reducing the likelihood of marking appeals.</w:t>
      </w:r>
      <w:r w:rsidRPr="00C85106" w:rsidDel="00994CEF">
        <w:rPr>
          <w:rFonts w:ascii="Arial" w:eastAsia="Aptos" w:hAnsi="Arial" w:cs="Arial"/>
          <w:szCs w:val="22"/>
        </w:rPr>
        <w:t xml:space="preserve"> </w:t>
      </w:r>
      <w:r w:rsidRPr="00C85106">
        <w:rPr>
          <w:rFonts w:ascii="Arial" w:hAnsi="Arial" w:cs="Arial"/>
          <w:szCs w:val="22"/>
        </w:rPr>
        <w:t>Ensure that rubrics focus on relevant dimensions such as clarity of communication, depth of understanding, critical engagement, and application of knowledge (see Table 1 for an example).</w:t>
      </w:r>
    </w:p>
    <w:p w14:paraId="5DA13D0B" w14:textId="0DA3F7A5" w:rsidR="00C85106" w:rsidRPr="00C85106" w:rsidRDefault="00C85106" w:rsidP="00C85106">
      <w:pPr>
        <w:pStyle w:val="Heading3"/>
        <w:rPr>
          <w:szCs w:val="22"/>
        </w:rPr>
      </w:pPr>
      <w:r w:rsidRPr="00C85106">
        <w:rPr>
          <w:szCs w:val="22"/>
        </w:rPr>
        <w:lastRenderedPageBreak/>
        <w:t>Table 1. Example rubric for an IOA</w:t>
      </w:r>
    </w:p>
    <w:tbl>
      <w:tblPr>
        <w:tblStyle w:val="TableGrid"/>
        <w:tblW w:w="5000" w:type="pct"/>
        <w:tblLook w:val="04A0" w:firstRow="1" w:lastRow="0" w:firstColumn="1" w:lastColumn="0" w:noHBand="0" w:noVBand="1"/>
      </w:tblPr>
      <w:tblGrid>
        <w:gridCol w:w="1536"/>
        <w:gridCol w:w="1788"/>
        <w:gridCol w:w="1713"/>
        <w:gridCol w:w="1531"/>
        <w:gridCol w:w="1533"/>
        <w:gridCol w:w="1527"/>
      </w:tblGrid>
      <w:tr w:rsidR="00C85106" w:rsidRPr="006665E3" w14:paraId="6964C658" w14:textId="77777777" w:rsidTr="00A431B8">
        <w:trPr>
          <w:trHeight w:val="607"/>
        </w:trPr>
        <w:tc>
          <w:tcPr>
            <w:tcW w:w="762" w:type="pct"/>
            <w:shd w:val="clear" w:color="auto" w:fill="000F46" w:themeFill="background2"/>
          </w:tcPr>
          <w:p w14:paraId="567CDDFF"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Criteria</w:t>
            </w:r>
          </w:p>
        </w:tc>
        <w:tc>
          <w:tcPr>
            <w:tcW w:w="936" w:type="pct"/>
            <w:shd w:val="clear" w:color="auto" w:fill="000F46" w:themeFill="background2"/>
          </w:tcPr>
          <w:p w14:paraId="17A29EA7"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Unsatisfactory</w:t>
            </w:r>
          </w:p>
          <w:p w14:paraId="0F5D6C10" w14:textId="6197CD0F"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 xml:space="preserve"> (Fail)</w:t>
            </w:r>
          </w:p>
        </w:tc>
        <w:tc>
          <w:tcPr>
            <w:tcW w:w="897" w:type="pct"/>
            <w:shd w:val="clear" w:color="auto" w:fill="000F46" w:themeFill="background2"/>
          </w:tcPr>
          <w:p w14:paraId="5A1119EA"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 xml:space="preserve">Acceptable </w:t>
            </w:r>
          </w:p>
          <w:p w14:paraId="0E074EEC" w14:textId="1B6703FF"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(Pass)</w:t>
            </w:r>
          </w:p>
        </w:tc>
        <w:tc>
          <w:tcPr>
            <w:tcW w:w="802" w:type="pct"/>
            <w:shd w:val="clear" w:color="auto" w:fill="000F46" w:themeFill="background2"/>
          </w:tcPr>
          <w:p w14:paraId="496B748C"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 xml:space="preserve">Good </w:t>
            </w:r>
          </w:p>
          <w:p w14:paraId="3A62FD45"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(H3-H2A)</w:t>
            </w:r>
          </w:p>
        </w:tc>
        <w:tc>
          <w:tcPr>
            <w:tcW w:w="803" w:type="pct"/>
            <w:shd w:val="clear" w:color="auto" w:fill="000F46" w:themeFill="background2"/>
          </w:tcPr>
          <w:p w14:paraId="029B14D0"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Very Good</w:t>
            </w:r>
          </w:p>
          <w:p w14:paraId="127A33C0"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(H2A)</w:t>
            </w:r>
          </w:p>
        </w:tc>
        <w:tc>
          <w:tcPr>
            <w:tcW w:w="801" w:type="pct"/>
            <w:shd w:val="clear" w:color="auto" w:fill="000F46" w:themeFill="background2"/>
          </w:tcPr>
          <w:p w14:paraId="6B84DE94" w14:textId="77777777"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Outstanding</w:t>
            </w:r>
          </w:p>
          <w:p w14:paraId="75200B77" w14:textId="55D87171" w:rsidR="00C85106" w:rsidRPr="00D422DF" w:rsidRDefault="00C85106" w:rsidP="00C85106">
            <w:pPr>
              <w:spacing w:before="0" w:after="60" w:line="240" w:lineRule="auto"/>
              <w:rPr>
                <w:rFonts w:cs="Arial"/>
                <w:b/>
                <w:bCs/>
                <w:color w:val="FFFFFF" w:themeColor="background1"/>
                <w:sz w:val="19"/>
                <w:szCs w:val="19"/>
              </w:rPr>
            </w:pPr>
            <w:r w:rsidRPr="00D422DF">
              <w:rPr>
                <w:rFonts w:cs="Arial"/>
                <w:b/>
                <w:bCs/>
                <w:color w:val="FFFFFF" w:themeColor="background1"/>
                <w:sz w:val="19"/>
                <w:szCs w:val="19"/>
              </w:rPr>
              <w:t xml:space="preserve"> (H1)</w:t>
            </w:r>
          </w:p>
        </w:tc>
      </w:tr>
      <w:tr w:rsidR="00C85106" w:rsidRPr="00454394" w14:paraId="76D59E1F" w14:textId="77777777" w:rsidTr="00A431B8">
        <w:trPr>
          <w:trHeight w:val="300"/>
        </w:trPr>
        <w:tc>
          <w:tcPr>
            <w:tcW w:w="762" w:type="pct"/>
          </w:tcPr>
          <w:p w14:paraId="5A1A1062" w14:textId="77777777" w:rsidR="00C85106" w:rsidRPr="00D422DF" w:rsidRDefault="00C85106" w:rsidP="00C85106">
            <w:pPr>
              <w:spacing w:before="20" w:line="240" w:lineRule="auto"/>
              <w:rPr>
                <w:rFonts w:cs="Arial"/>
                <w:sz w:val="19"/>
                <w:szCs w:val="19"/>
              </w:rPr>
            </w:pPr>
            <w:r w:rsidRPr="00D422DF">
              <w:rPr>
                <w:rFonts w:cs="Arial"/>
                <w:sz w:val="19"/>
                <w:szCs w:val="19"/>
              </w:rPr>
              <w:t>Clarity of Communication</w:t>
            </w:r>
          </w:p>
        </w:tc>
        <w:tc>
          <w:tcPr>
            <w:tcW w:w="936" w:type="pct"/>
          </w:tcPr>
          <w:p w14:paraId="34F36774" w14:textId="77777777" w:rsidR="00C85106" w:rsidRPr="00D422DF" w:rsidRDefault="00C85106" w:rsidP="00C85106">
            <w:pPr>
              <w:spacing w:before="20" w:line="240" w:lineRule="auto"/>
              <w:rPr>
                <w:rFonts w:cs="Arial"/>
                <w:sz w:val="19"/>
                <w:szCs w:val="19"/>
              </w:rPr>
            </w:pPr>
            <w:r w:rsidRPr="00D422DF">
              <w:rPr>
                <w:rFonts w:cs="Arial"/>
                <w:sz w:val="19"/>
                <w:szCs w:val="19"/>
              </w:rPr>
              <w:t>Expression is unclear, disorganised, or difficult to follow; frequent hesitations or misused terminology.</w:t>
            </w:r>
          </w:p>
        </w:tc>
        <w:tc>
          <w:tcPr>
            <w:tcW w:w="897" w:type="pct"/>
          </w:tcPr>
          <w:p w14:paraId="78D49D89" w14:textId="77777777" w:rsidR="00C85106" w:rsidRPr="00D422DF" w:rsidRDefault="00C85106" w:rsidP="00C85106">
            <w:pPr>
              <w:spacing w:before="20" w:line="240" w:lineRule="auto"/>
              <w:rPr>
                <w:rFonts w:cs="Arial"/>
                <w:sz w:val="19"/>
                <w:szCs w:val="19"/>
              </w:rPr>
            </w:pPr>
            <w:r w:rsidRPr="00D422DF">
              <w:rPr>
                <w:rFonts w:cs="Arial"/>
                <w:sz w:val="19"/>
                <w:szCs w:val="19"/>
              </w:rPr>
              <w:t>Communicates ideas in a basic and mostly comprehensible way, though with some lapses in fluency or terminology use.</w:t>
            </w:r>
          </w:p>
        </w:tc>
        <w:tc>
          <w:tcPr>
            <w:tcW w:w="802" w:type="pct"/>
          </w:tcPr>
          <w:p w14:paraId="0FAC8D27" w14:textId="77777777" w:rsidR="00C85106" w:rsidRPr="00D422DF" w:rsidRDefault="00C85106" w:rsidP="00C85106">
            <w:pPr>
              <w:spacing w:before="20" w:line="240" w:lineRule="auto"/>
              <w:rPr>
                <w:rFonts w:cs="Arial"/>
                <w:sz w:val="19"/>
                <w:szCs w:val="19"/>
              </w:rPr>
            </w:pPr>
            <w:r w:rsidRPr="00D422DF">
              <w:rPr>
                <w:rFonts w:cs="Arial"/>
                <w:sz w:val="19"/>
                <w:szCs w:val="19"/>
              </w:rPr>
              <w:t>Generally clear and coherent delivery; appropriate vocabulary and structure used with minor slips.</w:t>
            </w:r>
          </w:p>
        </w:tc>
        <w:tc>
          <w:tcPr>
            <w:tcW w:w="803" w:type="pct"/>
          </w:tcPr>
          <w:p w14:paraId="69AFD8B9" w14:textId="77777777" w:rsidR="00C85106" w:rsidRPr="00D422DF" w:rsidRDefault="00C85106" w:rsidP="00C85106">
            <w:pPr>
              <w:spacing w:before="20" w:line="240" w:lineRule="auto"/>
              <w:rPr>
                <w:rFonts w:cs="Arial"/>
                <w:sz w:val="19"/>
                <w:szCs w:val="19"/>
              </w:rPr>
            </w:pPr>
            <w:r w:rsidRPr="00D422DF">
              <w:rPr>
                <w:rFonts w:cs="Arial"/>
                <w:sz w:val="19"/>
                <w:szCs w:val="19"/>
              </w:rPr>
              <w:t>Expresses ideas fluently and confidently; language and tone are well-suited to purpose and audience.</w:t>
            </w:r>
          </w:p>
        </w:tc>
        <w:tc>
          <w:tcPr>
            <w:tcW w:w="801" w:type="pct"/>
          </w:tcPr>
          <w:p w14:paraId="1A1A1CF5" w14:textId="77777777" w:rsidR="00C85106" w:rsidRPr="00D422DF" w:rsidRDefault="00C85106" w:rsidP="00C85106">
            <w:pPr>
              <w:spacing w:before="20" w:line="240" w:lineRule="auto"/>
              <w:rPr>
                <w:rFonts w:cs="Arial"/>
                <w:sz w:val="19"/>
                <w:szCs w:val="19"/>
              </w:rPr>
            </w:pPr>
            <w:r w:rsidRPr="00D422DF">
              <w:rPr>
                <w:rFonts w:cs="Arial"/>
                <w:sz w:val="19"/>
                <w:szCs w:val="19"/>
              </w:rPr>
              <w:t>Highly articulate, persuasive, and engaging; delivery is polished, confident, and professional throughout.</w:t>
            </w:r>
          </w:p>
        </w:tc>
      </w:tr>
      <w:tr w:rsidR="00C85106" w:rsidRPr="00454394" w14:paraId="65918839" w14:textId="77777777" w:rsidTr="00A431B8">
        <w:trPr>
          <w:trHeight w:val="300"/>
        </w:trPr>
        <w:tc>
          <w:tcPr>
            <w:tcW w:w="762" w:type="pct"/>
          </w:tcPr>
          <w:p w14:paraId="7C1FF129" w14:textId="77777777" w:rsidR="00C85106" w:rsidRPr="00D422DF" w:rsidRDefault="00C85106" w:rsidP="00C85106">
            <w:pPr>
              <w:spacing w:before="20" w:line="240" w:lineRule="auto"/>
              <w:rPr>
                <w:rFonts w:cs="Arial"/>
                <w:sz w:val="19"/>
                <w:szCs w:val="19"/>
              </w:rPr>
            </w:pPr>
            <w:r w:rsidRPr="00D422DF">
              <w:rPr>
                <w:rFonts w:cs="Arial"/>
                <w:sz w:val="19"/>
                <w:szCs w:val="19"/>
              </w:rPr>
              <w:t>Depth of Understanding</w:t>
            </w:r>
          </w:p>
        </w:tc>
        <w:tc>
          <w:tcPr>
            <w:tcW w:w="936" w:type="pct"/>
          </w:tcPr>
          <w:p w14:paraId="7073B34B" w14:textId="77777777" w:rsidR="00C85106" w:rsidRPr="00D422DF" w:rsidRDefault="00C85106" w:rsidP="00C85106">
            <w:pPr>
              <w:spacing w:before="20" w:line="240" w:lineRule="auto"/>
              <w:rPr>
                <w:rFonts w:cs="Arial"/>
                <w:sz w:val="19"/>
                <w:szCs w:val="19"/>
              </w:rPr>
            </w:pPr>
            <w:r w:rsidRPr="00D422DF">
              <w:rPr>
                <w:rFonts w:cs="Arial"/>
                <w:sz w:val="19"/>
                <w:szCs w:val="19"/>
              </w:rPr>
              <w:t>Demonstrates superficial or inaccurate understanding; key concepts are missing or misrepresented.</w:t>
            </w:r>
          </w:p>
        </w:tc>
        <w:tc>
          <w:tcPr>
            <w:tcW w:w="897" w:type="pct"/>
          </w:tcPr>
          <w:p w14:paraId="21B238C3" w14:textId="77777777" w:rsidR="00C85106" w:rsidRPr="00D422DF" w:rsidRDefault="00C85106" w:rsidP="00C85106">
            <w:pPr>
              <w:spacing w:before="20" w:line="240" w:lineRule="auto"/>
              <w:rPr>
                <w:rFonts w:cs="Arial"/>
                <w:sz w:val="19"/>
                <w:szCs w:val="19"/>
              </w:rPr>
            </w:pPr>
            <w:r w:rsidRPr="00D422DF">
              <w:rPr>
                <w:rFonts w:cs="Arial"/>
                <w:sz w:val="19"/>
                <w:szCs w:val="19"/>
              </w:rPr>
              <w:t>Shows basic understanding of core ideas but limited ability to elaborate or explain interconnections.</w:t>
            </w:r>
          </w:p>
        </w:tc>
        <w:tc>
          <w:tcPr>
            <w:tcW w:w="802" w:type="pct"/>
          </w:tcPr>
          <w:p w14:paraId="4D3855B3" w14:textId="77777777" w:rsidR="00C85106" w:rsidRPr="00D422DF" w:rsidRDefault="00C85106" w:rsidP="00C85106">
            <w:pPr>
              <w:spacing w:before="20" w:line="240" w:lineRule="auto"/>
              <w:rPr>
                <w:rFonts w:cs="Arial"/>
                <w:sz w:val="19"/>
                <w:szCs w:val="19"/>
              </w:rPr>
            </w:pPr>
            <w:r w:rsidRPr="00D422DF">
              <w:rPr>
                <w:rFonts w:cs="Arial"/>
                <w:sz w:val="19"/>
                <w:szCs w:val="19"/>
              </w:rPr>
              <w:t>Demonstrates solid understanding of key concepts with some elaboration and use of relevant examples.</w:t>
            </w:r>
          </w:p>
        </w:tc>
        <w:tc>
          <w:tcPr>
            <w:tcW w:w="803" w:type="pct"/>
          </w:tcPr>
          <w:p w14:paraId="053C8B19" w14:textId="77777777" w:rsidR="00C85106" w:rsidRPr="00D422DF" w:rsidRDefault="00C85106" w:rsidP="00C85106">
            <w:pPr>
              <w:spacing w:before="20" w:line="240" w:lineRule="auto"/>
              <w:rPr>
                <w:rFonts w:cs="Arial"/>
                <w:sz w:val="19"/>
                <w:szCs w:val="19"/>
              </w:rPr>
            </w:pPr>
            <w:r w:rsidRPr="00D422DF">
              <w:rPr>
                <w:rFonts w:cs="Arial"/>
                <w:sz w:val="19"/>
                <w:szCs w:val="19"/>
              </w:rPr>
              <w:t>Explores concepts with insight and nuance; integrates examples or perspectives with understanding.</w:t>
            </w:r>
          </w:p>
        </w:tc>
        <w:tc>
          <w:tcPr>
            <w:tcW w:w="801" w:type="pct"/>
          </w:tcPr>
          <w:p w14:paraId="7EB0F41A" w14:textId="77777777" w:rsidR="00C85106" w:rsidRPr="00D422DF" w:rsidRDefault="00C85106" w:rsidP="00C85106">
            <w:pPr>
              <w:spacing w:before="20" w:line="240" w:lineRule="auto"/>
              <w:rPr>
                <w:rFonts w:cs="Arial"/>
                <w:sz w:val="19"/>
                <w:szCs w:val="19"/>
              </w:rPr>
            </w:pPr>
            <w:r w:rsidRPr="00D422DF">
              <w:rPr>
                <w:rFonts w:cs="Arial"/>
                <w:sz w:val="19"/>
                <w:szCs w:val="19"/>
              </w:rPr>
              <w:t>Demonstrates deep, integrated understanding; explains complex ideas with clarity and originality.</w:t>
            </w:r>
          </w:p>
        </w:tc>
      </w:tr>
      <w:tr w:rsidR="00C85106" w:rsidRPr="00454394" w14:paraId="72A354C7" w14:textId="77777777" w:rsidTr="00A431B8">
        <w:trPr>
          <w:trHeight w:val="300"/>
        </w:trPr>
        <w:tc>
          <w:tcPr>
            <w:tcW w:w="762" w:type="pct"/>
          </w:tcPr>
          <w:p w14:paraId="1B23D970" w14:textId="77777777" w:rsidR="00C85106" w:rsidRPr="00D422DF" w:rsidRDefault="00C85106" w:rsidP="00C85106">
            <w:pPr>
              <w:spacing w:before="20" w:line="240" w:lineRule="auto"/>
              <w:rPr>
                <w:rFonts w:cs="Arial"/>
                <w:sz w:val="19"/>
                <w:szCs w:val="19"/>
              </w:rPr>
            </w:pPr>
            <w:r w:rsidRPr="00D422DF">
              <w:rPr>
                <w:rFonts w:cs="Arial"/>
                <w:sz w:val="19"/>
                <w:szCs w:val="19"/>
              </w:rPr>
              <w:t>Critical Engagement</w:t>
            </w:r>
          </w:p>
        </w:tc>
        <w:tc>
          <w:tcPr>
            <w:tcW w:w="936" w:type="pct"/>
          </w:tcPr>
          <w:p w14:paraId="49595249" w14:textId="77777777" w:rsidR="00C85106" w:rsidRPr="00D422DF" w:rsidRDefault="00C85106" w:rsidP="00C85106">
            <w:pPr>
              <w:spacing w:before="20" w:line="240" w:lineRule="auto"/>
              <w:rPr>
                <w:rFonts w:cs="Arial"/>
                <w:sz w:val="19"/>
                <w:szCs w:val="19"/>
              </w:rPr>
            </w:pPr>
            <w:r w:rsidRPr="00D422DF">
              <w:rPr>
                <w:rFonts w:cs="Arial"/>
                <w:sz w:val="19"/>
                <w:szCs w:val="19"/>
              </w:rPr>
              <w:t>Little or no evidence of questioning, critique, or exploration of alternative viewpoints.</w:t>
            </w:r>
          </w:p>
        </w:tc>
        <w:tc>
          <w:tcPr>
            <w:tcW w:w="897" w:type="pct"/>
          </w:tcPr>
          <w:p w14:paraId="02B6A7FE" w14:textId="77777777" w:rsidR="00C85106" w:rsidRPr="00D422DF" w:rsidRDefault="00C85106" w:rsidP="00C85106">
            <w:pPr>
              <w:spacing w:before="20" w:line="240" w:lineRule="auto"/>
              <w:rPr>
                <w:rFonts w:cs="Arial"/>
                <w:sz w:val="19"/>
                <w:szCs w:val="19"/>
              </w:rPr>
            </w:pPr>
            <w:r w:rsidRPr="00D422DF">
              <w:rPr>
                <w:rFonts w:cs="Arial"/>
                <w:sz w:val="19"/>
                <w:szCs w:val="19"/>
              </w:rPr>
              <w:t>Some engagement with issues, though mostly descriptive or reliant on surface-level commentary.</w:t>
            </w:r>
          </w:p>
        </w:tc>
        <w:tc>
          <w:tcPr>
            <w:tcW w:w="802" w:type="pct"/>
          </w:tcPr>
          <w:p w14:paraId="34577D36" w14:textId="77777777" w:rsidR="00C85106" w:rsidRPr="00D422DF" w:rsidRDefault="00C85106" w:rsidP="00C85106">
            <w:pPr>
              <w:spacing w:before="20" w:line="240" w:lineRule="auto"/>
              <w:rPr>
                <w:rFonts w:cs="Arial"/>
                <w:sz w:val="19"/>
                <w:szCs w:val="19"/>
              </w:rPr>
            </w:pPr>
            <w:r w:rsidRPr="00D422DF">
              <w:rPr>
                <w:rFonts w:cs="Arial"/>
                <w:sz w:val="19"/>
                <w:szCs w:val="19"/>
              </w:rPr>
              <w:t>Attempts some critique or reflection; may identify tensions or assumptions in the material.</w:t>
            </w:r>
          </w:p>
        </w:tc>
        <w:tc>
          <w:tcPr>
            <w:tcW w:w="803" w:type="pct"/>
          </w:tcPr>
          <w:p w14:paraId="1B6B5478" w14:textId="77777777" w:rsidR="00C85106" w:rsidRPr="00D422DF" w:rsidRDefault="00C85106" w:rsidP="00C85106">
            <w:pPr>
              <w:spacing w:before="20" w:line="240" w:lineRule="auto"/>
              <w:rPr>
                <w:rFonts w:cs="Arial"/>
                <w:sz w:val="19"/>
                <w:szCs w:val="19"/>
              </w:rPr>
            </w:pPr>
            <w:r w:rsidRPr="00D422DF">
              <w:rPr>
                <w:rFonts w:cs="Arial"/>
                <w:sz w:val="19"/>
                <w:szCs w:val="19"/>
              </w:rPr>
              <w:t>Thoughtfully critiques ideas and explores implications or limitations; considers multiple perspectives.</w:t>
            </w:r>
          </w:p>
        </w:tc>
        <w:tc>
          <w:tcPr>
            <w:tcW w:w="801" w:type="pct"/>
          </w:tcPr>
          <w:p w14:paraId="7F942D85" w14:textId="77777777" w:rsidR="00C85106" w:rsidRPr="00D422DF" w:rsidRDefault="00C85106" w:rsidP="00C85106">
            <w:pPr>
              <w:spacing w:before="20" w:line="240" w:lineRule="auto"/>
              <w:rPr>
                <w:rFonts w:cs="Arial"/>
                <w:sz w:val="19"/>
                <w:szCs w:val="19"/>
              </w:rPr>
            </w:pPr>
            <w:r w:rsidRPr="00D422DF">
              <w:rPr>
                <w:rFonts w:cs="Arial"/>
                <w:sz w:val="19"/>
                <w:szCs w:val="19"/>
              </w:rPr>
              <w:t>Insightfully interrogates issues, synthesises perspectives, and challenges assumptions with intellectual rigour.</w:t>
            </w:r>
          </w:p>
        </w:tc>
      </w:tr>
      <w:tr w:rsidR="00C85106" w:rsidRPr="00454394" w14:paraId="68C4BFFB" w14:textId="77777777" w:rsidTr="00A431B8">
        <w:trPr>
          <w:trHeight w:val="300"/>
        </w:trPr>
        <w:tc>
          <w:tcPr>
            <w:tcW w:w="762" w:type="pct"/>
          </w:tcPr>
          <w:p w14:paraId="7EF85418" w14:textId="77777777" w:rsidR="00C85106" w:rsidRPr="00D422DF" w:rsidRDefault="00C85106" w:rsidP="00C85106">
            <w:pPr>
              <w:spacing w:before="20" w:line="240" w:lineRule="auto"/>
              <w:rPr>
                <w:rFonts w:cs="Arial"/>
                <w:sz w:val="19"/>
                <w:szCs w:val="19"/>
              </w:rPr>
            </w:pPr>
            <w:r w:rsidRPr="00D422DF">
              <w:rPr>
                <w:rFonts w:cs="Arial"/>
                <w:sz w:val="19"/>
                <w:szCs w:val="19"/>
              </w:rPr>
              <w:t>Application of Knowledge</w:t>
            </w:r>
          </w:p>
        </w:tc>
        <w:tc>
          <w:tcPr>
            <w:tcW w:w="936" w:type="pct"/>
          </w:tcPr>
          <w:p w14:paraId="17BF1C06" w14:textId="77777777" w:rsidR="00C85106" w:rsidRPr="00D422DF" w:rsidRDefault="00C85106" w:rsidP="00C85106">
            <w:pPr>
              <w:spacing w:before="20" w:line="240" w:lineRule="auto"/>
              <w:rPr>
                <w:rFonts w:cs="Arial"/>
                <w:sz w:val="19"/>
                <w:szCs w:val="19"/>
              </w:rPr>
            </w:pPr>
            <w:r w:rsidRPr="00D422DF">
              <w:rPr>
                <w:rFonts w:cs="Arial"/>
                <w:sz w:val="19"/>
                <w:szCs w:val="19"/>
              </w:rPr>
              <w:t>Fails to apply relevant concepts or applies them inaccurately; no connection to real-world or scenario context.</w:t>
            </w:r>
          </w:p>
        </w:tc>
        <w:tc>
          <w:tcPr>
            <w:tcW w:w="897" w:type="pct"/>
          </w:tcPr>
          <w:p w14:paraId="19A2DD09" w14:textId="77777777" w:rsidR="00C85106" w:rsidRPr="00D422DF" w:rsidRDefault="00C85106" w:rsidP="00C85106">
            <w:pPr>
              <w:spacing w:before="20" w:line="240" w:lineRule="auto"/>
              <w:rPr>
                <w:rFonts w:cs="Arial"/>
                <w:sz w:val="19"/>
                <w:szCs w:val="19"/>
              </w:rPr>
            </w:pPr>
            <w:r w:rsidRPr="00D422DF">
              <w:rPr>
                <w:rFonts w:cs="Arial"/>
                <w:sz w:val="19"/>
                <w:szCs w:val="19"/>
              </w:rPr>
              <w:t>Applies basic concepts correctly in a general way; limited adaptation to the context.</w:t>
            </w:r>
          </w:p>
        </w:tc>
        <w:tc>
          <w:tcPr>
            <w:tcW w:w="802" w:type="pct"/>
          </w:tcPr>
          <w:p w14:paraId="1806675B" w14:textId="77777777" w:rsidR="00C85106" w:rsidRPr="00D422DF" w:rsidRDefault="00C85106" w:rsidP="00C85106">
            <w:pPr>
              <w:spacing w:before="20" w:line="240" w:lineRule="auto"/>
              <w:rPr>
                <w:rFonts w:cs="Arial"/>
                <w:sz w:val="19"/>
                <w:szCs w:val="19"/>
              </w:rPr>
            </w:pPr>
            <w:r w:rsidRPr="00D422DF">
              <w:rPr>
                <w:rFonts w:cs="Arial"/>
                <w:sz w:val="19"/>
                <w:szCs w:val="19"/>
              </w:rPr>
              <w:t>Applies knowledge appropriately; demonstrates some ability to adapt or transfer ideas to the scenario.</w:t>
            </w:r>
          </w:p>
        </w:tc>
        <w:tc>
          <w:tcPr>
            <w:tcW w:w="803" w:type="pct"/>
          </w:tcPr>
          <w:p w14:paraId="48B7D3AB" w14:textId="77777777" w:rsidR="00C85106" w:rsidRPr="00D422DF" w:rsidRDefault="00C85106" w:rsidP="00C85106">
            <w:pPr>
              <w:spacing w:before="20" w:line="240" w:lineRule="auto"/>
              <w:rPr>
                <w:rFonts w:cs="Arial"/>
                <w:sz w:val="19"/>
                <w:szCs w:val="19"/>
              </w:rPr>
            </w:pPr>
            <w:r w:rsidRPr="00D422DF">
              <w:rPr>
                <w:rFonts w:cs="Arial"/>
                <w:sz w:val="19"/>
                <w:szCs w:val="19"/>
              </w:rPr>
              <w:t>Effectively applies knowledge with contextual awareness and flexibility; makes logical connections.</w:t>
            </w:r>
          </w:p>
        </w:tc>
        <w:tc>
          <w:tcPr>
            <w:tcW w:w="801" w:type="pct"/>
          </w:tcPr>
          <w:p w14:paraId="4F401725" w14:textId="77777777" w:rsidR="00C85106" w:rsidRPr="00D422DF" w:rsidRDefault="00C85106" w:rsidP="00C85106">
            <w:pPr>
              <w:spacing w:before="20" w:line="240" w:lineRule="auto"/>
              <w:rPr>
                <w:rFonts w:cs="Arial"/>
                <w:sz w:val="19"/>
                <w:szCs w:val="19"/>
              </w:rPr>
            </w:pPr>
            <w:r w:rsidRPr="00D422DF">
              <w:rPr>
                <w:rFonts w:cs="Arial"/>
                <w:sz w:val="19"/>
                <w:szCs w:val="19"/>
              </w:rPr>
              <w:t>Sophisticated and creative application of knowledge; demonstrates adaptive thinking and real-world insight.</w:t>
            </w:r>
          </w:p>
        </w:tc>
      </w:tr>
    </w:tbl>
    <w:p w14:paraId="2CD12F5C" w14:textId="77777777" w:rsidR="00C85106" w:rsidRPr="00C85106" w:rsidRDefault="00C85106" w:rsidP="00C85106">
      <w:pPr>
        <w:rPr>
          <w:szCs w:val="22"/>
        </w:rPr>
      </w:pPr>
      <w:r w:rsidRPr="00C85106">
        <w:rPr>
          <w:szCs w:val="22"/>
        </w:rPr>
        <w:t xml:space="preserve">To further enhance student understanding, Kalman et al. (2024) suggest providing a video exemplar of an IOA on an unrelated topic. Students can then practice using the rubric to assess this exemplar, gaining valuable insight into the assessment process and criteria, without risking direct imitation (O’Riordan, 2023). This approach not only helps to clarify expectations, but also actively engages students in understanding the assessment standards, promoting better preparation and potentially improving overall performance in the IOA. </w:t>
      </w:r>
    </w:p>
    <w:p w14:paraId="70129B6F" w14:textId="77777777" w:rsidR="00C85106" w:rsidRPr="00C85106" w:rsidRDefault="00C85106" w:rsidP="00C85106">
      <w:pPr>
        <w:pStyle w:val="Heading2"/>
        <w:rPr>
          <w:szCs w:val="24"/>
        </w:rPr>
      </w:pPr>
      <w:r w:rsidRPr="00C85106">
        <w:rPr>
          <w:szCs w:val="24"/>
        </w:rPr>
        <w:t>Weighting</w:t>
      </w:r>
    </w:p>
    <w:p w14:paraId="14E1E850" w14:textId="77777777" w:rsidR="00C85106" w:rsidRPr="00C85106" w:rsidRDefault="00C85106" w:rsidP="00C85106">
      <w:pPr>
        <w:rPr>
          <w:szCs w:val="22"/>
        </w:rPr>
      </w:pPr>
      <w:r w:rsidRPr="00C85106">
        <w:rPr>
          <w:szCs w:val="22"/>
        </w:rPr>
        <w:t>When determining the weighting of an IOA, it is helpful to consider</w:t>
      </w:r>
      <w:r w:rsidRPr="00C85106" w:rsidDel="00036139">
        <w:rPr>
          <w:szCs w:val="22"/>
        </w:rPr>
        <w:t xml:space="preserve"> </w:t>
      </w:r>
      <w:r w:rsidRPr="00C85106">
        <w:rPr>
          <w:szCs w:val="22"/>
        </w:rPr>
        <w:t xml:space="preserve">its complexity and importance within the subject or program. For example, early-stage IOAs may carry lower weighting, while capstone-level IOAs may be more heavily weighted to reflect their integrative purpose. The duration of the IOA should also be appropriate to the assessment weighting. For example, the Interactive Oral Assessment </w:t>
      </w:r>
      <w:r w:rsidRPr="00C85106">
        <w:rPr>
          <w:szCs w:val="22"/>
        </w:rPr>
        <w:lastRenderedPageBreak/>
        <w:t>Community of Practice at Charles Sturt University recommends that a 10 to 15-minute IOA is weighted at around 40% of the total subject mark.</w:t>
      </w:r>
    </w:p>
    <w:p w14:paraId="0DCA6281" w14:textId="1AB7F8CD" w:rsidR="00C85106" w:rsidRPr="001D7311" w:rsidRDefault="001D7311" w:rsidP="001D7311">
      <w:pPr>
        <w:pStyle w:val="Heading1"/>
        <w:rPr>
          <w:szCs w:val="28"/>
        </w:rPr>
      </w:pPr>
      <w:r w:rsidRPr="001D7311">
        <w:rPr>
          <w:szCs w:val="28"/>
        </w:rPr>
        <w:t>Implementing and Delivering IOAs</w:t>
      </w:r>
    </w:p>
    <w:p w14:paraId="2CBF998E" w14:textId="77777777" w:rsidR="001D7311" w:rsidRPr="001D7311" w:rsidRDefault="001D7311" w:rsidP="001D7311">
      <w:pPr>
        <w:pStyle w:val="Heading2"/>
        <w:rPr>
          <w:sz w:val="22"/>
          <w:szCs w:val="22"/>
        </w:rPr>
      </w:pPr>
      <w:r w:rsidRPr="001D7311">
        <w:rPr>
          <w:sz w:val="22"/>
          <w:szCs w:val="22"/>
        </w:rPr>
        <w:t>Role of Assessors</w:t>
      </w:r>
    </w:p>
    <w:p w14:paraId="4D72A651" w14:textId="77777777" w:rsidR="001D7311" w:rsidRDefault="001D7311" w:rsidP="001D7311">
      <w:pPr>
        <w:rPr>
          <w:rFonts w:cs="Arial"/>
        </w:rPr>
      </w:pPr>
      <w:r w:rsidRPr="00EE0EC6">
        <w:rPr>
          <w:rFonts w:cs="Arial"/>
        </w:rPr>
        <w:t xml:space="preserve">In an IOA, </w:t>
      </w:r>
      <w:r w:rsidRPr="00EE0EC6" w:rsidDel="001727D9">
        <w:rPr>
          <w:rFonts w:cs="Arial"/>
        </w:rPr>
        <w:t xml:space="preserve">the </w:t>
      </w:r>
      <w:r w:rsidRPr="16AB2BD3">
        <w:rPr>
          <w:rFonts w:cs="Arial"/>
        </w:rPr>
        <w:t>assessors</w:t>
      </w:r>
      <w:r w:rsidRPr="00EE0EC6">
        <w:rPr>
          <w:rFonts w:cs="Arial"/>
        </w:rPr>
        <w:t xml:space="preserve"> </w:t>
      </w:r>
      <w:r w:rsidRPr="00BB290C">
        <w:rPr>
          <w:rFonts w:cs="Arial"/>
        </w:rPr>
        <w:t xml:space="preserve">serve as facilitators of a structured yet open conversation. Their role is to create a supportive environment that encourages students to elaborate on their thinking, connect ideas, and demonstrate nuanced understanding. </w:t>
      </w:r>
      <w:r w:rsidRPr="00EE0EC6">
        <w:rPr>
          <w:rFonts w:cs="Arial"/>
        </w:rPr>
        <w:t>Assessors</w:t>
      </w:r>
      <w:r w:rsidRPr="00EE0EC6" w:rsidDel="00FB7A4B">
        <w:rPr>
          <w:rFonts w:cs="Arial"/>
        </w:rPr>
        <w:t xml:space="preserve"> </w:t>
      </w:r>
      <w:r>
        <w:rPr>
          <w:rFonts w:cs="Arial"/>
        </w:rPr>
        <w:t>will</w:t>
      </w:r>
      <w:r w:rsidRPr="00EE0EC6">
        <w:rPr>
          <w:rFonts w:cs="Arial"/>
        </w:rPr>
        <w:t xml:space="preserve"> p</w:t>
      </w:r>
      <w:r w:rsidRPr="00BB290C">
        <w:rPr>
          <w:rFonts w:cs="Arial"/>
        </w:rPr>
        <w:t>rompt</w:t>
      </w:r>
      <w:r w:rsidRPr="00EE0EC6">
        <w:rPr>
          <w:rFonts w:cs="Arial"/>
        </w:rPr>
        <w:t xml:space="preserve"> students using</w:t>
      </w:r>
      <w:r w:rsidRPr="00BB290C">
        <w:rPr>
          <w:rFonts w:cs="Arial"/>
        </w:rPr>
        <w:t xml:space="preserve"> open-ended and adaptable</w:t>
      </w:r>
      <w:r w:rsidRPr="00EE0EC6">
        <w:rPr>
          <w:rFonts w:cs="Arial"/>
        </w:rPr>
        <w:t xml:space="preserve"> questions</w:t>
      </w:r>
      <w:r>
        <w:rPr>
          <w:rFonts w:cs="Arial"/>
        </w:rPr>
        <w:t>,</w:t>
      </w:r>
      <w:r w:rsidRPr="00EE0EC6">
        <w:rPr>
          <w:rFonts w:cs="Arial"/>
        </w:rPr>
        <w:t xml:space="preserve"> probing </w:t>
      </w:r>
      <w:r w:rsidRPr="00BB290C">
        <w:rPr>
          <w:rFonts w:cs="Arial"/>
        </w:rPr>
        <w:t>deeper based on student responses</w:t>
      </w:r>
      <w:r>
        <w:rPr>
          <w:rFonts w:cs="Arial"/>
        </w:rPr>
        <w:t>. It may also be helpful to ask increasingly difficult questions over the course of the conversation, to differentiate student performance across the cohort (Fenton, 2025).</w:t>
      </w:r>
      <w:r w:rsidRPr="00302FDB">
        <w:rPr>
          <w:rFonts w:cs="Arial"/>
          <w:iCs/>
        </w:rPr>
        <w:t xml:space="preserve"> </w:t>
      </w:r>
      <w:r w:rsidRPr="00454394">
        <w:rPr>
          <w:rFonts w:cs="Arial"/>
          <w:iCs/>
        </w:rPr>
        <w:t xml:space="preserve">Assessors </w:t>
      </w:r>
      <w:r>
        <w:rPr>
          <w:rFonts w:cs="Arial"/>
          <w:iCs/>
        </w:rPr>
        <w:t>will need to</w:t>
      </w:r>
      <w:r w:rsidRPr="00454394">
        <w:rPr>
          <w:rFonts w:cs="Arial"/>
          <w:iCs/>
        </w:rPr>
        <w:t xml:space="preserve"> be well informed about the desired kinds of prompts to use (developing a bank of potential prompts for each learning objective might be helpful), and how much prompting is expected (Fenton, 2025). </w:t>
      </w:r>
      <w:r>
        <w:rPr>
          <w:rFonts w:cs="Arial"/>
        </w:rPr>
        <w:t>Three broad forms of prompts are particularly useful in IOA conversations:</w:t>
      </w:r>
    </w:p>
    <w:p w14:paraId="42634113" w14:textId="77777777" w:rsidR="001D7311" w:rsidRDefault="001D7311" w:rsidP="001D7311">
      <w:pPr>
        <w:pStyle w:val="ListParagraph"/>
        <w:numPr>
          <w:ilvl w:val="0"/>
          <w:numId w:val="48"/>
        </w:numPr>
        <w:suppressAutoHyphens w:val="0"/>
        <w:spacing w:before="0" w:after="0"/>
        <w:rPr>
          <w:rFonts w:cs="Arial"/>
        </w:rPr>
      </w:pPr>
      <w:r>
        <w:rPr>
          <w:rFonts w:cs="Arial"/>
        </w:rPr>
        <w:t>Redirecting prompts: These guide s</w:t>
      </w:r>
      <w:r w:rsidRPr="000A6075">
        <w:rPr>
          <w:rFonts w:cs="Arial"/>
        </w:rPr>
        <w:t>tudents back to the core task or encourage to clarif</w:t>
      </w:r>
      <w:r>
        <w:rPr>
          <w:rFonts w:cs="Arial"/>
        </w:rPr>
        <w:t>ication of</w:t>
      </w:r>
      <w:r w:rsidRPr="000A6075">
        <w:rPr>
          <w:rFonts w:cs="Arial"/>
        </w:rPr>
        <w:t xml:space="preserve"> vague or off-track responses</w:t>
      </w:r>
      <w:r>
        <w:rPr>
          <w:rFonts w:cs="Arial"/>
        </w:rPr>
        <w:t>. F</w:t>
      </w:r>
      <w:r w:rsidRPr="000A6075">
        <w:rPr>
          <w:rFonts w:cs="Arial"/>
        </w:rPr>
        <w:t xml:space="preserve">or example, “Can you link that back to the scenario we just discussed?” or “What evidence supports that claim?” </w:t>
      </w:r>
    </w:p>
    <w:p w14:paraId="74C452F6" w14:textId="77777777" w:rsidR="001D7311" w:rsidRDefault="001D7311" w:rsidP="001D7311">
      <w:pPr>
        <w:pStyle w:val="ListParagraph"/>
        <w:numPr>
          <w:ilvl w:val="0"/>
          <w:numId w:val="48"/>
        </w:numPr>
        <w:suppressAutoHyphens w:val="0"/>
        <w:spacing w:before="0" w:after="0"/>
        <w:rPr>
          <w:rFonts w:cs="Arial"/>
        </w:rPr>
      </w:pPr>
      <w:r>
        <w:rPr>
          <w:rFonts w:cs="Arial"/>
        </w:rPr>
        <w:t xml:space="preserve">Expanding prompts: These help draw out more detailed or nuanced responses </w:t>
      </w:r>
      <w:r w:rsidRPr="16AB2BD3">
        <w:rPr>
          <w:rFonts w:cs="Arial"/>
        </w:rPr>
        <w:t>when students provide</w:t>
      </w:r>
      <w:r>
        <w:rPr>
          <w:rFonts w:cs="Arial"/>
        </w:rPr>
        <w:t xml:space="preserve"> </w:t>
      </w:r>
      <w:r w:rsidRPr="000A6075">
        <w:rPr>
          <w:rFonts w:cs="Arial"/>
        </w:rPr>
        <w:t>surface-level answer</w:t>
      </w:r>
      <w:r>
        <w:rPr>
          <w:rFonts w:cs="Arial"/>
        </w:rPr>
        <w:t xml:space="preserve">s. For instance, </w:t>
      </w:r>
      <w:r w:rsidRPr="000A6075">
        <w:rPr>
          <w:rFonts w:cs="Arial"/>
        </w:rPr>
        <w:t xml:space="preserve">“Can you explain the implications of that choice?” or “What might be an alternative interpretation?” or simply “That’s interesting, tell me more …”. </w:t>
      </w:r>
    </w:p>
    <w:p w14:paraId="2AAF9823" w14:textId="77777777" w:rsidR="001D7311" w:rsidRDefault="001D7311" w:rsidP="001D7311">
      <w:pPr>
        <w:pStyle w:val="ListParagraph"/>
        <w:numPr>
          <w:ilvl w:val="0"/>
          <w:numId w:val="48"/>
        </w:numPr>
        <w:suppressAutoHyphens w:val="0"/>
        <w:spacing w:before="0" w:after="0"/>
        <w:rPr>
          <w:rFonts w:cs="Arial"/>
        </w:rPr>
      </w:pPr>
      <w:r w:rsidRPr="00276BFE">
        <w:rPr>
          <w:rFonts w:cs="Arial"/>
        </w:rPr>
        <w:t>Synthesis</w:t>
      </w:r>
      <w:r w:rsidRPr="000A6075">
        <w:rPr>
          <w:rFonts w:cs="Arial"/>
          <w:b/>
          <w:bCs/>
        </w:rPr>
        <w:t xml:space="preserve"> </w:t>
      </w:r>
      <w:r w:rsidRPr="000A6075">
        <w:rPr>
          <w:rFonts w:cs="Arial"/>
        </w:rPr>
        <w:t>prompts</w:t>
      </w:r>
      <w:r>
        <w:rPr>
          <w:rFonts w:cs="Arial"/>
        </w:rPr>
        <w:t xml:space="preserve">: These </w:t>
      </w:r>
      <w:r w:rsidRPr="000A6075">
        <w:rPr>
          <w:rFonts w:cs="Arial"/>
        </w:rPr>
        <w:t>encourage students to integrate ideas, make connections, or reflect on implications</w:t>
      </w:r>
      <w:r>
        <w:rPr>
          <w:rFonts w:cs="Arial"/>
        </w:rPr>
        <w:t xml:space="preserve">. For example, </w:t>
      </w:r>
      <w:r w:rsidRPr="000A6075">
        <w:rPr>
          <w:rFonts w:cs="Arial"/>
        </w:rPr>
        <w:t xml:space="preserve">“How do these two perspectives fit together?” or “What does this suggest about the broader issue?” </w:t>
      </w:r>
    </w:p>
    <w:p w14:paraId="2D6C386E" w14:textId="77777777" w:rsidR="001D7311" w:rsidRPr="002E024A" w:rsidRDefault="001D7311" w:rsidP="001D7311">
      <w:pPr>
        <w:rPr>
          <w:rFonts w:cs="Arial"/>
        </w:rPr>
      </w:pPr>
      <w:r w:rsidRPr="002E024A">
        <w:rPr>
          <w:rFonts w:cs="Arial"/>
        </w:rPr>
        <w:t>Using a mix of these prompt types supports a rich, responsive conversation that reveals the depth and flexibility of student understanding.</w:t>
      </w:r>
    </w:p>
    <w:p w14:paraId="2BBD92E7" w14:textId="77777777" w:rsidR="001D7311" w:rsidRPr="003A2F4F" w:rsidRDefault="001D7311" w:rsidP="001D7311">
      <w:pPr>
        <w:rPr>
          <w:rFonts w:cs="Arial"/>
        </w:rPr>
      </w:pPr>
      <w:r>
        <w:rPr>
          <w:rFonts w:cs="Arial"/>
        </w:rPr>
        <w:t xml:space="preserve">To assist with in situ marking during the IOA, </w:t>
      </w:r>
      <w:r w:rsidRPr="16AB2BD3">
        <w:rPr>
          <w:rFonts w:cs="Arial"/>
        </w:rPr>
        <w:t>it is helpful to provide</w:t>
      </w:r>
      <w:r w:rsidRPr="16AB2BD3" w:rsidDel="00302FDB">
        <w:rPr>
          <w:rFonts w:cs="Arial"/>
        </w:rPr>
        <w:t xml:space="preserve"> </w:t>
      </w:r>
      <w:r>
        <w:rPr>
          <w:rFonts w:cs="Arial"/>
        </w:rPr>
        <w:t>a</w:t>
      </w:r>
      <w:r w:rsidRPr="16AB2BD3">
        <w:rPr>
          <w:rFonts w:cs="Arial"/>
        </w:rPr>
        <w:t xml:space="preserve">ssessors </w:t>
      </w:r>
      <w:r>
        <w:rPr>
          <w:rFonts w:cs="Arial"/>
        </w:rPr>
        <w:t xml:space="preserve">with a clear and </w:t>
      </w:r>
      <w:r w:rsidRPr="16AB2BD3">
        <w:rPr>
          <w:rFonts w:cs="Arial"/>
        </w:rPr>
        <w:t xml:space="preserve">well differentiated assessment </w:t>
      </w:r>
      <w:r>
        <w:rPr>
          <w:rFonts w:cs="Arial"/>
        </w:rPr>
        <w:t xml:space="preserve">rubric. It is crucial that </w:t>
      </w:r>
      <w:r w:rsidRPr="16AB2BD3">
        <w:rPr>
          <w:rFonts w:cs="Arial"/>
        </w:rPr>
        <w:t>they</w:t>
      </w:r>
      <w:r>
        <w:rPr>
          <w:rFonts w:cs="Arial"/>
        </w:rPr>
        <w:t xml:space="preserve"> have access to </w:t>
      </w:r>
      <w:r w:rsidRPr="16AB2BD3">
        <w:rPr>
          <w:rFonts w:cs="Arial"/>
        </w:rPr>
        <w:t>this</w:t>
      </w:r>
      <w:r>
        <w:rPr>
          <w:rFonts w:cs="Arial"/>
        </w:rPr>
        <w:t xml:space="preserve"> rubric prior to the IOA sessions to ensure </w:t>
      </w:r>
      <w:r w:rsidRPr="16AB2BD3">
        <w:rPr>
          <w:rFonts w:cs="Arial"/>
        </w:rPr>
        <w:t>familiar</w:t>
      </w:r>
      <w:r>
        <w:rPr>
          <w:rFonts w:cs="Arial"/>
        </w:rPr>
        <w:t xml:space="preserve">ity and consistent application </w:t>
      </w:r>
      <w:r w:rsidRPr="16AB2BD3">
        <w:rPr>
          <w:rFonts w:cs="Arial"/>
        </w:rPr>
        <w:t>throughout the assessment process.</w:t>
      </w:r>
      <w:r>
        <w:rPr>
          <w:rFonts w:cs="Arial"/>
        </w:rPr>
        <w:t xml:space="preserve"> Training in using the rubric prior to the IOA sessions (e.g., using exemplar video recordings) may also be valuable to increase familiarity and confidence and identify any potential marking inconsistencies or issues.</w:t>
      </w:r>
    </w:p>
    <w:p w14:paraId="22B97193" w14:textId="77777777" w:rsidR="001D7311" w:rsidRPr="001D7311" w:rsidRDefault="001D7311" w:rsidP="001D7311">
      <w:pPr>
        <w:pStyle w:val="Heading2"/>
        <w:spacing w:line="360" w:lineRule="auto"/>
        <w:rPr>
          <w:szCs w:val="24"/>
        </w:rPr>
      </w:pPr>
      <w:r w:rsidRPr="001D7311">
        <w:rPr>
          <w:szCs w:val="24"/>
        </w:rPr>
        <w:t>Scheduling and Logistical Planning</w:t>
      </w:r>
    </w:p>
    <w:p w14:paraId="3F46DD15" w14:textId="77777777" w:rsidR="001D7311" w:rsidRDefault="001D7311" w:rsidP="001D7311">
      <w:pPr>
        <w:rPr>
          <w:rFonts w:cs="Arial"/>
        </w:rPr>
      </w:pPr>
      <w:r w:rsidRPr="16AB2BD3">
        <w:rPr>
          <w:rFonts w:cs="Arial"/>
        </w:rPr>
        <w:t>Careful planning and</w:t>
      </w:r>
      <w:r w:rsidRPr="00BB290C">
        <w:rPr>
          <w:rFonts w:cs="Arial"/>
        </w:rPr>
        <w:t xml:space="preserve"> scheduling is crucial to the success of IOAs, particularly when implemented at scale. </w:t>
      </w:r>
      <w:r w:rsidRPr="00381B28">
        <w:rPr>
          <w:rFonts w:cs="Arial"/>
        </w:rPr>
        <w:t>To streamline this process and reduce administrative burden, digital booking tools such as Canvas Appointments or Microsoft Bookings can be utili</w:t>
      </w:r>
      <w:r>
        <w:rPr>
          <w:rFonts w:cs="Arial"/>
        </w:rPr>
        <w:t>s</w:t>
      </w:r>
      <w:r w:rsidRPr="00381B28">
        <w:rPr>
          <w:rFonts w:cs="Arial"/>
        </w:rPr>
        <w:t xml:space="preserve">ed. These tools allow students to select </w:t>
      </w:r>
      <w:r w:rsidRPr="00381B28">
        <w:rPr>
          <w:rFonts w:cs="Arial"/>
        </w:rPr>
        <w:lastRenderedPageBreak/>
        <w:t>available time slots and receive automated reminders. </w:t>
      </w:r>
      <w:r w:rsidRPr="16AB2BD3">
        <w:rPr>
          <w:rFonts w:cs="Arial"/>
        </w:rPr>
        <w:t xml:space="preserve">Additionally, the teaching team may find it beneficial to use a collaborative online spreadsheet for planning purposes.  </w:t>
      </w:r>
    </w:p>
    <w:p w14:paraId="1C9C4FD0" w14:textId="77777777" w:rsidR="001D7311" w:rsidRPr="00BB290C" w:rsidRDefault="001D7311" w:rsidP="001D7311">
      <w:pPr>
        <w:rPr>
          <w:rFonts w:cs="Arial"/>
        </w:rPr>
      </w:pPr>
      <w:r w:rsidRPr="00BB290C">
        <w:rPr>
          <w:rFonts w:cs="Arial"/>
        </w:rPr>
        <w:t xml:space="preserve">It </w:t>
      </w:r>
      <w:r w:rsidRPr="16AB2BD3">
        <w:rPr>
          <w:rFonts w:cs="Arial"/>
        </w:rPr>
        <w:t>may</w:t>
      </w:r>
      <w:r>
        <w:rPr>
          <w:rFonts w:cs="Arial"/>
        </w:rPr>
        <w:t xml:space="preserve"> also be helpful</w:t>
      </w:r>
      <w:r w:rsidRPr="00BB290C">
        <w:rPr>
          <w:rFonts w:cs="Arial"/>
        </w:rPr>
        <w:t xml:space="preserve"> to build in buffer time between sessions to </w:t>
      </w:r>
      <w:r>
        <w:rPr>
          <w:rFonts w:cs="Arial"/>
        </w:rPr>
        <w:t>limit cognitive load and fatigue for</w:t>
      </w:r>
      <w:r w:rsidRPr="00BB290C">
        <w:rPr>
          <w:rFonts w:cs="Arial"/>
        </w:rPr>
        <w:t xml:space="preserve"> </w:t>
      </w:r>
      <w:r w:rsidRPr="00EE0EC6">
        <w:rPr>
          <w:rFonts w:cs="Arial"/>
        </w:rPr>
        <w:t>assessor</w:t>
      </w:r>
      <w:r>
        <w:rPr>
          <w:rFonts w:cs="Arial"/>
        </w:rPr>
        <w:t>s</w:t>
      </w:r>
      <w:r w:rsidRPr="16AB2BD3">
        <w:rPr>
          <w:rFonts w:cs="Arial"/>
        </w:rPr>
        <w:t>.</w:t>
      </w:r>
      <w:r>
        <w:rPr>
          <w:rFonts w:cs="Arial"/>
        </w:rPr>
        <w:t xml:space="preserve"> </w:t>
      </w:r>
      <w:r w:rsidRPr="00F70E4C">
        <w:rPr>
          <w:rFonts w:cs="Arial"/>
        </w:rPr>
        <w:t>This allows for short breaks, note-taking, and preparation for the next student. </w:t>
      </w:r>
      <w:r w:rsidRPr="00BB290C">
        <w:rPr>
          <w:rFonts w:cs="Arial"/>
        </w:rPr>
        <w:t>Where feasible, the presence of two assessors can enhance reliability, though recordings may be used as an alternative for moderation purposes. Consideration should also be given to the assessment environment—ensuring it is quiet, private, and free from distractions.</w:t>
      </w:r>
    </w:p>
    <w:p w14:paraId="33AEA898" w14:textId="77777777" w:rsidR="001D7311" w:rsidRPr="001D7311" w:rsidRDefault="001D7311" w:rsidP="001D7311">
      <w:pPr>
        <w:pStyle w:val="Heading2"/>
        <w:spacing w:line="360" w:lineRule="auto"/>
        <w:rPr>
          <w:szCs w:val="24"/>
        </w:rPr>
      </w:pPr>
      <w:r w:rsidRPr="001D7311">
        <w:rPr>
          <w:szCs w:val="24"/>
        </w:rPr>
        <w:t>Providing Feedback Comments</w:t>
      </w:r>
    </w:p>
    <w:p w14:paraId="4E869461" w14:textId="34456CAA" w:rsidR="001D7311" w:rsidRDefault="001D7311" w:rsidP="001D7311">
      <w:pPr>
        <w:rPr>
          <w:rFonts w:cs="Arial"/>
        </w:rPr>
      </w:pPr>
      <w:r w:rsidRPr="00BB290C">
        <w:rPr>
          <w:rFonts w:cs="Arial"/>
        </w:rPr>
        <w:t xml:space="preserve">Feedback </w:t>
      </w:r>
      <w:r w:rsidRPr="16AB2BD3">
        <w:rPr>
          <w:rFonts w:cs="Arial"/>
        </w:rPr>
        <w:t xml:space="preserve">comments </w:t>
      </w:r>
      <w:r w:rsidRPr="00BB290C">
        <w:rPr>
          <w:rFonts w:cs="Arial"/>
        </w:rPr>
        <w:t>on IOAs can be both immediate and delayed. Real-time verbal feedback offers students an opportunity to reflect while the experience is still fresh, while written feedback—</w:t>
      </w:r>
      <w:r>
        <w:rPr>
          <w:rFonts w:cs="Arial"/>
        </w:rPr>
        <w:t xml:space="preserve">typically </w:t>
      </w:r>
      <w:r w:rsidRPr="00BB290C">
        <w:rPr>
          <w:rFonts w:cs="Arial"/>
        </w:rPr>
        <w:t>posted via the L</w:t>
      </w:r>
      <w:r>
        <w:rPr>
          <w:rFonts w:cs="Arial"/>
        </w:rPr>
        <w:t xml:space="preserve">earning </w:t>
      </w:r>
      <w:r w:rsidRPr="00BB290C">
        <w:rPr>
          <w:rFonts w:cs="Arial"/>
        </w:rPr>
        <w:t>M</w:t>
      </w:r>
      <w:r>
        <w:rPr>
          <w:rFonts w:cs="Arial"/>
        </w:rPr>
        <w:t xml:space="preserve">anagement </w:t>
      </w:r>
      <w:r w:rsidRPr="00BB290C">
        <w:rPr>
          <w:rFonts w:cs="Arial"/>
        </w:rPr>
        <w:t>S</w:t>
      </w:r>
      <w:r>
        <w:rPr>
          <w:rFonts w:cs="Arial"/>
        </w:rPr>
        <w:t xml:space="preserve">ystem </w:t>
      </w:r>
      <w:r w:rsidRPr="00BB290C">
        <w:rPr>
          <w:rFonts w:cs="Arial"/>
        </w:rPr>
        <w:t>—allows for more</w:t>
      </w:r>
      <w:r w:rsidRPr="00BB290C" w:rsidDel="00DE43AF">
        <w:rPr>
          <w:rFonts w:cs="Arial"/>
        </w:rPr>
        <w:t xml:space="preserve"> </w:t>
      </w:r>
      <w:r w:rsidRPr="00BB290C">
        <w:rPr>
          <w:rFonts w:cs="Arial"/>
        </w:rPr>
        <w:t xml:space="preserve">detailed </w:t>
      </w:r>
      <w:r w:rsidRPr="00EE0EC6">
        <w:rPr>
          <w:rFonts w:cs="Arial"/>
        </w:rPr>
        <w:t xml:space="preserve">comments that students can </w:t>
      </w:r>
      <w:proofErr w:type="gramStart"/>
      <w:r w:rsidRPr="00EE0EC6">
        <w:rPr>
          <w:rFonts w:cs="Arial"/>
        </w:rPr>
        <w:t>refer back</w:t>
      </w:r>
      <w:proofErr w:type="gramEnd"/>
      <w:r w:rsidRPr="00EE0EC6">
        <w:rPr>
          <w:rFonts w:cs="Arial"/>
        </w:rPr>
        <w:t xml:space="preserve"> to in the future.</w:t>
      </w:r>
      <w:r w:rsidRPr="00BB290C">
        <w:rPr>
          <w:rFonts w:cs="Arial"/>
        </w:rPr>
        <w:t xml:space="preserve"> Recordings of IOAs can </w:t>
      </w:r>
      <w:r w:rsidRPr="00EE0EC6">
        <w:rPr>
          <w:rFonts w:cs="Arial"/>
        </w:rPr>
        <w:t xml:space="preserve">also </w:t>
      </w:r>
      <w:r w:rsidRPr="00BB290C">
        <w:rPr>
          <w:rFonts w:cs="Arial"/>
        </w:rPr>
        <w:t>be shared with students for self-</w:t>
      </w:r>
      <w:r w:rsidRPr="00EE0EC6">
        <w:rPr>
          <w:rFonts w:cs="Arial"/>
        </w:rPr>
        <w:t>assessment</w:t>
      </w:r>
      <w:r w:rsidRPr="16AB2BD3" w:rsidDel="008C79DB">
        <w:rPr>
          <w:rFonts w:cs="Arial"/>
        </w:rPr>
        <w:t xml:space="preserve">. </w:t>
      </w:r>
      <w:r w:rsidRPr="001357D9">
        <w:rPr>
          <w:rFonts w:cs="Arial"/>
        </w:rPr>
        <w:t>This approach allows students to review their performance objectively, potentially identifying areas for improvement that they may not have noticed during the live assessment.</w:t>
      </w:r>
      <w:r>
        <w:rPr>
          <w:rFonts w:cs="Arial"/>
        </w:rPr>
        <w:t xml:space="preserve"> </w:t>
      </w:r>
    </w:p>
    <w:p w14:paraId="1BF719D1" w14:textId="77777777" w:rsidR="001D7311" w:rsidRPr="00BB290C" w:rsidRDefault="001D7311" w:rsidP="001D7311">
      <w:pPr>
        <w:rPr>
          <w:rFonts w:cs="Arial"/>
        </w:rPr>
      </w:pPr>
      <w:r w:rsidRPr="00BB290C">
        <w:rPr>
          <w:rFonts w:cs="Arial"/>
        </w:rPr>
        <w:t xml:space="preserve">Structured feedback strategies may include </w:t>
      </w:r>
      <w:r>
        <w:rPr>
          <w:rFonts w:cs="Arial"/>
        </w:rPr>
        <w:t xml:space="preserve">developing a set of </w:t>
      </w:r>
      <w:r w:rsidRPr="00BB290C">
        <w:rPr>
          <w:rFonts w:cs="Arial"/>
        </w:rPr>
        <w:t xml:space="preserve">pre-written </w:t>
      </w:r>
      <w:r w:rsidRPr="00BB290C" w:rsidDel="00C42B29">
        <w:rPr>
          <w:rFonts w:cs="Arial"/>
        </w:rPr>
        <w:t>comment banks</w:t>
      </w:r>
      <w:r w:rsidRPr="00BB290C">
        <w:rPr>
          <w:rFonts w:cs="Arial"/>
        </w:rPr>
        <w:t xml:space="preserve">, peer reviews, and student self-assessments. Educators might also </w:t>
      </w:r>
      <w:r w:rsidRPr="00EE0EC6">
        <w:rPr>
          <w:rFonts w:cs="Arial"/>
        </w:rPr>
        <w:t>prompt</w:t>
      </w:r>
      <w:r w:rsidRPr="00BB290C">
        <w:rPr>
          <w:rFonts w:cs="Arial"/>
        </w:rPr>
        <w:t xml:space="preserve"> students to </w:t>
      </w:r>
      <w:r w:rsidRPr="00EE0EC6">
        <w:rPr>
          <w:rFonts w:cs="Arial"/>
        </w:rPr>
        <w:t xml:space="preserve">ask for feedback themselves or </w:t>
      </w:r>
      <w:r w:rsidRPr="00BB290C">
        <w:rPr>
          <w:rFonts w:cs="Arial"/>
        </w:rPr>
        <w:t>nominate areas they would like specific feedback on, helping to personalise and target the feedback process</w:t>
      </w:r>
      <w:r w:rsidRPr="00EE0EC6">
        <w:rPr>
          <w:rFonts w:cs="Arial"/>
        </w:rPr>
        <w:t xml:space="preserve"> and develop feedback-seeking skills</w:t>
      </w:r>
      <w:r w:rsidRPr="00BB290C">
        <w:rPr>
          <w:rFonts w:cs="Arial"/>
        </w:rPr>
        <w:t>.</w:t>
      </w:r>
    </w:p>
    <w:p w14:paraId="71A632D3" w14:textId="77777777" w:rsidR="001D7311" w:rsidRPr="001D7311" w:rsidRDefault="001D7311" w:rsidP="001D7311">
      <w:pPr>
        <w:pStyle w:val="Heading1"/>
        <w:spacing w:line="360" w:lineRule="auto"/>
        <w:rPr>
          <w:szCs w:val="28"/>
        </w:rPr>
      </w:pPr>
      <w:r w:rsidRPr="001D7311">
        <w:rPr>
          <w:szCs w:val="28"/>
        </w:rPr>
        <w:t>Quality Assurance and Continuous Improvement</w:t>
      </w:r>
    </w:p>
    <w:p w14:paraId="0FF8C8EF" w14:textId="77777777" w:rsidR="001D7311" w:rsidRPr="001D7311" w:rsidRDefault="001D7311" w:rsidP="001D7311">
      <w:pPr>
        <w:pStyle w:val="Heading2"/>
        <w:spacing w:line="360" w:lineRule="auto"/>
        <w:rPr>
          <w:szCs w:val="24"/>
        </w:rPr>
      </w:pPr>
      <w:r w:rsidRPr="001D7311">
        <w:rPr>
          <w:szCs w:val="24"/>
        </w:rPr>
        <w:t>Ensuring Consistency and Fairness</w:t>
      </w:r>
    </w:p>
    <w:p w14:paraId="56412B1A" w14:textId="77777777" w:rsidR="001D7311" w:rsidRDefault="001D7311" w:rsidP="001D7311">
      <w:pPr>
        <w:rPr>
          <w:rFonts w:cs="Arial"/>
        </w:rPr>
      </w:pPr>
      <w:r w:rsidRPr="00BB290C">
        <w:rPr>
          <w:rFonts w:cs="Arial"/>
        </w:rPr>
        <w:t xml:space="preserve">Maintaining consistency </w:t>
      </w:r>
      <w:r w:rsidRPr="00EE0EC6">
        <w:rPr>
          <w:rFonts w:cs="Arial"/>
        </w:rPr>
        <w:t>in assessment</w:t>
      </w:r>
      <w:r w:rsidRPr="00BB290C">
        <w:rPr>
          <w:rFonts w:cs="Arial"/>
        </w:rPr>
        <w:t xml:space="preserve"> </w:t>
      </w:r>
      <w:r w:rsidRPr="00EE0EC6">
        <w:rPr>
          <w:rFonts w:cs="Arial"/>
        </w:rPr>
        <w:t>can be</w:t>
      </w:r>
      <w:r w:rsidRPr="00BB290C">
        <w:rPr>
          <w:rFonts w:cs="Arial"/>
        </w:rPr>
        <w:t xml:space="preserve"> a key challenge in IOAs</w:t>
      </w:r>
      <w:r w:rsidRPr="00EE0EC6">
        <w:rPr>
          <w:rFonts w:cs="Arial"/>
        </w:rPr>
        <w:t>, particularly in larger cohorts where multiple assessors are required</w:t>
      </w:r>
      <w:r w:rsidRPr="00BB290C">
        <w:rPr>
          <w:rFonts w:cs="Arial"/>
        </w:rPr>
        <w:t xml:space="preserve">. </w:t>
      </w:r>
      <w:r w:rsidRPr="00EE0EC6">
        <w:rPr>
          <w:rFonts w:cs="Arial"/>
        </w:rPr>
        <w:t>In these cases</w:t>
      </w:r>
      <w:r w:rsidRPr="16AB2BD3">
        <w:rPr>
          <w:rFonts w:cs="Arial"/>
        </w:rPr>
        <w:t>,</w:t>
      </w:r>
      <w:r w:rsidRPr="00EE0EC6">
        <w:rPr>
          <w:rFonts w:cs="Arial"/>
        </w:rPr>
        <w:t xml:space="preserve"> it is generally helpful to ensure that all assessors have a s</w:t>
      </w:r>
      <w:r w:rsidRPr="00BB290C">
        <w:rPr>
          <w:rFonts w:cs="Arial"/>
        </w:rPr>
        <w:t>hared understanding of the assessment criteria</w:t>
      </w:r>
      <w:r w:rsidRPr="16AB2BD3">
        <w:rPr>
          <w:rFonts w:cs="Arial"/>
        </w:rPr>
        <w:t xml:space="preserve"> and rubric.</w:t>
      </w:r>
      <w:r w:rsidRPr="00BB290C">
        <w:rPr>
          <w:rFonts w:cs="Arial"/>
        </w:rPr>
        <w:t xml:space="preserve"> Training sessions for assessors, where they calibrate their judg</w:t>
      </w:r>
      <w:r>
        <w:rPr>
          <w:rFonts w:cs="Arial"/>
        </w:rPr>
        <w:t>e</w:t>
      </w:r>
      <w:r w:rsidRPr="00BB290C">
        <w:rPr>
          <w:rFonts w:cs="Arial"/>
        </w:rPr>
        <w:t xml:space="preserve">ments using sample student responses or videos, are highly recommended. Ongoing moderation meetings can help identify and address discrepancies. </w:t>
      </w:r>
      <w:r w:rsidRPr="00EE0EC6">
        <w:t xml:space="preserve">O'Riordan (2023) recommends moderating marks between days (if applicable) and between markers to maintain ongoing consistency. </w:t>
      </w:r>
      <w:r w:rsidRPr="00BB290C">
        <w:rPr>
          <w:rFonts w:cs="Arial"/>
        </w:rPr>
        <w:t xml:space="preserve">Additionally, </w:t>
      </w:r>
      <w:r w:rsidRPr="00EE0EC6">
        <w:rPr>
          <w:rFonts w:cs="Arial"/>
        </w:rPr>
        <w:t>having</w:t>
      </w:r>
      <w:r w:rsidRPr="00BB290C">
        <w:rPr>
          <w:rFonts w:cs="Arial"/>
        </w:rPr>
        <w:t xml:space="preserve"> assessors observe each other’s sessions can foster shared expectations and </w:t>
      </w:r>
      <w:r>
        <w:rPr>
          <w:rFonts w:cs="Arial"/>
        </w:rPr>
        <w:t>improve</w:t>
      </w:r>
      <w:r w:rsidRPr="00BB290C">
        <w:rPr>
          <w:rFonts w:cs="Arial"/>
        </w:rPr>
        <w:t xml:space="preserve"> reliability</w:t>
      </w:r>
      <w:r>
        <w:rPr>
          <w:rFonts w:cs="Arial"/>
        </w:rPr>
        <w:t xml:space="preserve"> across the team</w:t>
      </w:r>
      <w:r w:rsidRPr="00BB290C">
        <w:rPr>
          <w:rFonts w:cs="Arial"/>
        </w:rPr>
        <w:t xml:space="preserve">. </w:t>
      </w:r>
      <w:r w:rsidRPr="00EE0EC6">
        <w:rPr>
          <w:rFonts w:cs="Arial"/>
        </w:rPr>
        <w:t>Rotating assessors, p</w:t>
      </w:r>
      <w:r w:rsidRPr="00BB290C">
        <w:rPr>
          <w:rFonts w:cs="Arial"/>
        </w:rPr>
        <w:t>roviding rest breaks and limiting back-to-back sessions will also help reduce</w:t>
      </w:r>
      <w:r w:rsidRPr="00EE0EC6">
        <w:rPr>
          <w:rFonts w:cs="Arial"/>
        </w:rPr>
        <w:t xml:space="preserve"> cognitive</w:t>
      </w:r>
      <w:r w:rsidRPr="00BB290C">
        <w:rPr>
          <w:rFonts w:cs="Arial"/>
        </w:rPr>
        <w:t xml:space="preserve"> fatigue and maintain fairness.</w:t>
      </w:r>
      <w:r>
        <w:rPr>
          <w:rFonts w:cs="Arial"/>
        </w:rPr>
        <w:t xml:space="preserve"> Obtaining audio or video recordings of IOAs may also provide useful evidence to refer to in the case of a marking appeal.</w:t>
      </w:r>
    </w:p>
    <w:p w14:paraId="1F37FB5D" w14:textId="77777777" w:rsidR="00CC1BCB" w:rsidRPr="00BB290C" w:rsidRDefault="00CC1BCB" w:rsidP="001D7311">
      <w:pPr>
        <w:rPr>
          <w:rFonts w:cs="Arial"/>
        </w:rPr>
      </w:pPr>
    </w:p>
    <w:p w14:paraId="1D1F59B7" w14:textId="77777777" w:rsidR="001D7311" w:rsidRPr="001D7311" w:rsidRDefault="001D7311" w:rsidP="001D7311">
      <w:pPr>
        <w:pStyle w:val="Heading2"/>
        <w:spacing w:line="360" w:lineRule="auto"/>
        <w:rPr>
          <w:szCs w:val="24"/>
        </w:rPr>
      </w:pPr>
      <w:r w:rsidRPr="001D7311">
        <w:rPr>
          <w:szCs w:val="24"/>
        </w:rPr>
        <w:lastRenderedPageBreak/>
        <w:t>Evaluation and Review</w:t>
      </w:r>
    </w:p>
    <w:p w14:paraId="56C19014" w14:textId="77777777" w:rsidR="001D7311" w:rsidRPr="00BB290C" w:rsidRDefault="001D7311" w:rsidP="001D7311">
      <w:pPr>
        <w:rPr>
          <w:rFonts w:cs="Arial"/>
        </w:rPr>
      </w:pPr>
      <w:r>
        <w:rPr>
          <w:rFonts w:cs="Arial"/>
        </w:rPr>
        <w:t xml:space="preserve">It is valuable to </w:t>
      </w:r>
      <w:r w:rsidRPr="16AB2BD3">
        <w:rPr>
          <w:rFonts w:cs="Arial"/>
        </w:rPr>
        <w:t xml:space="preserve">engage in </w:t>
      </w:r>
      <w:r w:rsidRPr="00BB290C">
        <w:rPr>
          <w:rFonts w:cs="Arial"/>
        </w:rPr>
        <w:t xml:space="preserve">regular evaluation </w:t>
      </w:r>
      <w:r w:rsidRPr="16AB2BD3">
        <w:rPr>
          <w:rFonts w:cs="Arial"/>
        </w:rPr>
        <w:t xml:space="preserve">of IOAs </w:t>
      </w:r>
      <w:r w:rsidRPr="00BB290C">
        <w:rPr>
          <w:rFonts w:cs="Arial"/>
        </w:rPr>
        <w:t>to ensure they remain effective and relevant. This includes gathering student</w:t>
      </w:r>
      <w:r w:rsidRPr="00EE0EC6">
        <w:rPr>
          <w:rFonts w:cs="Arial"/>
        </w:rPr>
        <w:t xml:space="preserve"> and assessor</w:t>
      </w:r>
      <w:r w:rsidRPr="00BB290C">
        <w:rPr>
          <w:rFonts w:cs="Arial"/>
        </w:rPr>
        <w:t xml:space="preserve"> feedback, reviewing assessment data, and aligning tasks with current industry or disciplinary standards. Adjustments based on reflective practice</w:t>
      </w:r>
      <w:r>
        <w:rPr>
          <w:rFonts w:cs="Arial"/>
        </w:rPr>
        <w:t xml:space="preserve"> after each teaching period</w:t>
      </w:r>
      <w:r w:rsidRPr="00BB290C">
        <w:rPr>
          <w:rFonts w:cs="Arial"/>
        </w:rPr>
        <w:t xml:space="preserve"> </w:t>
      </w:r>
      <w:r w:rsidRPr="00EE0EC6">
        <w:rPr>
          <w:rFonts w:cs="Arial"/>
        </w:rPr>
        <w:t xml:space="preserve">will also </w:t>
      </w:r>
      <w:r w:rsidRPr="00BB290C">
        <w:rPr>
          <w:rFonts w:cs="Arial"/>
        </w:rPr>
        <w:t>help to refine IOA implementation</w:t>
      </w:r>
      <w:r w:rsidRPr="16AB2BD3">
        <w:rPr>
          <w:rFonts w:cs="Arial"/>
        </w:rPr>
        <w:t>.</w:t>
      </w:r>
    </w:p>
    <w:p w14:paraId="5AC13DDC" w14:textId="77777777" w:rsidR="001D7311" w:rsidRPr="00EE0EC6" w:rsidRDefault="001D7311" w:rsidP="001D7311">
      <w:pPr>
        <w:pStyle w:val="Heading1"/>
        <w:spacing w:line="360" w:lineRule="auto"/>
      </w:pPr>
      <w:r w:rsidRPr="00EE0EC6">
        <w:t>Inclusivity and Equity</w:t>
      </w:r>
    </w:p>
    <w:p w14:paraId="426EFEA8" w14:textId="77777777" w:rsidR="001D7311" w:rsidRDefault="001D7311" w:rsidP="001D7311">
      <w:pPr>
        <w:rPr>
          <w:rFonts w:cs="Arial"/>
        </w:rPr>
      </w:pPr>
      <w:r w:rsidRPr="16AB2BD3">
        <w:rPr>
          <w:rFonts w:cs="Arial"/>
        </w:rPr>
        <w:t xml:space="preserve">Research indicates that IOAs can be an equitable form of assessment (Krautloher, 2024), particularly when they are appropriately scaffolded and implemented within a subject and when students are well-supported to succeed (e.g., expectations and assessment criteria are clear, assessors ask individualised rather than general questions). Indeed, some students may find IOAs more engaging and less stressful than other forms of assessment, such as written exams (Tan et al., 2022; TeachWell Digital, 2024). </w:t>
      </w:r>
    </w:p>
    <w:p w14:paraId="372C55CA" w14:textId="77777777" w:rsidR="001D7311" w:rsidRDefault="001D7311" w:rsidP="001D7311">
      <w:pPr>
        <w:rPr>
          <w:rFonts w:cs="Arial"/>
        </w:rPr>
      </w:pPr>
      <w:r w:rsidRPr="16AB2BD3">
        <w:rPr>
          <w:rFonts w:cs="Arial"/>
        </w:rPr>
        <w:t>However, other students, such as those with social anxiety, neurodivergence, or lower English proficiency, may experience heightened apprehension towards an IOA, particularly if they have no prior experience with this assessment format (Fenton, 2025). It is useful for educators to therefore plan for flexibility while also endeavouring to maintain the integrity of the assessment (</w:t>
      </w:r>
      <w:r w:rsidRPr="16AB2BD3">
        <w:rPr>
          <w:rFonts w:ascii="Aptos" w:eastAsia="Aptos" w:hAnsi="Aptos" w:cs="Aptos"/>
        </w:rPr>
        <w:t>Sotiriadou et al., 2020)</w:t>
      </w:r>
      <w:r w:rsidRPr="16AB2BD3">
        <w:rPr>
          <w:rFonts w:cs="Arial"/>
        </w:rPr>
        <w:t xml:space="preserve">. This might include offering slightly modified formats, providing additional preparation time, or allowing the presence of a support person during the IOA (Kalman et al., 2024). It is also critical to clarify what is being assessed and to avoid inadvertently evaluating attributes like articulation skills or language fluency unless they are explicitly included in the learning outcomes. </w:t>
      </w:r>
      <w:r w:rsidRPr="00BB290C">
        <w:rPr>
          <w:rFonts w:cs="Arial"/>
        </w:rPr>
        <w:t>Assessment accommodations should be handled in consultation with student support services, and any alternatives provided must remain fair and aligned with the task’s core objectives.</w:t>
      </w:r>
    </w:p>
    <w:p w14:paraId="6DF2D8C7" w14:textId="77777777" w:rsidR="001D7311" w:rsidRPr="00EE0EC6" w:rsidRDefault="001D7311" w:rsidP="001D7311">
      <w:pPr>
        <w:pStyle w:val="Heading1"/>
      </w:pPr>
      <w:r>
        <w:t xml:space="preserve">Support and </w:t>
      </w:r>
      <w:r w:rsidRPr="00EE0EC6">
        <w:t>Re</w:t>
      </w:r>
      <w:r>
        <w:t>sources</w:t>
      </w:r>
    </w:p>
    <w:p w14:paraId="18733B4A" w14:textId="017793B8" w:rsidR="001D7311" w:rsidRDefault="001D7311" w:rsidP="001D7311">
      <w:pPr>
        <w:pStyle w:val="ListParagraph"/>
        <w:numPr>
          <w:ilvl w:val="0"/>
          <w:numId w:val="49"/>
        </w:numPr>
        <w:suppressAutoHyphens w:val="0"/>
        <w:spacing w:before="0" w:after="0"/>
      </w:pPr>
      <w:r w:rsidRPr="5CB644AD">
        <w:t xml:space="preserve">The University of Melbourne’s </w:t>
      </w:r>
      <w:r w:rsidR="00C227D2" w:rsidRPr="00EF56F2">
        <w:t>Teaching and Learning Innovation</w:t>
      </w:r>
      <w:r>
        <w:t xml:space="preserve"> </w:t>
      </w:r>
      <w:r w:rsidR="00C227D2">
        <w:t>(</w:t>
      </w:r>
      <w:hyperlink r:id="rId17" w:history="1">
        <w:r w:rsidR="00C227D2" w:rsidRPr="00847F09">
          <w:rPr>
            <w:rStyle w:val="Hyperlink"/>
          </w:rPr>
          <w:t>https://www.unimelb.edu.au/tli</w:t>
        </w:r>
      </w:hyperlink>
      <w:r w:rsidR="00C227D2">
        <w:t xml:space="preserve">) </w:t>
      </w:r>
      <w:r>
        <w:t xml:space="preserve">deliver a wide and flexible range of expert services to support teaching, learning and assessment capability. They have produced an IOA resource and case study, which are available </w:t>
      </w:r>
      <w:r w:rsidR="007A7930" w:rsidRPr="00EF56F2">
        <w:t>here</w:t>
      </w:r>
      <w:r w:rsidR="007A7930">
        <w:t xml:space="preserve">: </w:t>
      </w:r>
      <w:hyperlink r:id="rId18" w:history="1">
        <w:r w:rsidR="007A7930" w:rsidRPr="00847F09">
          <w:rPr>
            <w:rStyle w:val="Hyperlink"/>
          </w:rPr>
          <w:t>https://www.unimelb.edu.au/tli/news/articles/interactive-oral-assessments</w:t>
        </w:r>
      </w:hyperlink>
    </w:p>
    <w:p w14:paraId="17B63611" w14:textId="6F118800" w:rsidR="001D7311" w:rsidRDefault="001D7311" w:rsidP="001D7311">
      <w:pPr>
        <w:pStyle w:val="ListParagraph"/>
        <w:numPr>
          <w:ilvl w:val="0"/>
          <w:numId w:val="49"/>
        </w:numPr>
        <w:suppressAutoHyphens w:val="0"/>
        <w:spacing w:before="0" w:after="0"/>
      </w:pPr>
      <w:r>
        <w:t xml:space="preserve">The </w:t>
      </w:r>
      <w:r w:rsidR="00A10ED7" w:rsidRPr="00EF56F2">
        <w:t>Education at Melbourne</w:t>
      </w:r>
      <w:r>
        <w:t xml:space="preserve"> site </w:t>
      </w:r>
      <w:r w:rsidR="00A10ED7">
        <w:t>(</w:t>
      </w:r>
      <w:hyperlink r:id="rId19" w:history="1">
        <w:r w:rsidR="00A10ED7" w:rsidRPr="00A10ED7">
          <w:rPr>
            <w:rStyle w:val="Hyperlink"/>
          </w:rPr>
          <w:t>https://about.unimelb.edu.au/education-melbourne</w:t>
        </w:r>
      </w:hyperlink>
      <w:r w:rsidR="00A10ED7">
        <w:t xml:space="preserve">) </w:t>
      </w:r>
      <w:r>
        <w:t xml:space="preserve">provides resources and information to support teaching staff at The University of Melbourne. They provide several examples of IOAs </w:t>
      </w:r>
      <w:r w:rsidR="00A10ED7" w:rsidRPr="00EF56F2">
        <w:t>here</w:t>
      </w:r>
      <w:r w:rsidR="00A10ED7">
        <w:t xml:space="preserve">: </w:t>
      </w:r>
      <w:hyperlink r:id="rId20" w:history="1">
        <w:r w:rsidR="00A10ED7" w:rsidRPr="00847F09">
          <w:rPr>
            <w:rStyle w:val="Hyperlink"/>
          </w:rPr>
          <w:t>https://about.unimelb.edu.au/education-melbourne/assuring-learning-at-melbourne/secure-assessment/interactive-oral-assessment</w:t>
        </w:r>
      </w:hyperlink>
    </w:p>
    <w:p w14:paraId="4444D5C9" w14:textId="1B1F67F9" w:rsidR="001D7311" w:rsidRDefault="001D7311" w:rsidP="009D0BE6">
      <w:pPr>
        <w:pStyle w:val="ListParagraph"/>
        <w:numPr>
          <w:ilvl w:val="0"/>
          <w:numId w:val="49"/>
        </w:numPr>
        <w:suppressAutoHyphens w:val="0"/>
        <w:spacing w:before="0" w:after="0"/>
      </w:pPr>
      <w:r>
        <w:t>TeachWell Digital have produced a webpage with information and resources relating to IOA (</w:t>
      </w:r>
      <w:hyperlink r:id="rId21" w:history="1">
        <w:r w:rsidR="009D0BE6" w:rsidRPr="00847F09">
          <w:rPr>
            <w:rStyle w:val="Hyperlink"/>
          </w:rPr>
          <w:t>https://teachwell.auckland.ac.nz/assessment/interactive-oral-assessments/</w:t>
        </w:r>
      </w:hyperlink>
      <w:r>
        <w:t>).</w:t>
      </w:r>
    </w:p>
    <w:p w14:paraId="1FCA4EEC" w14:textId="727B641B" w:rsidR="001D7311" w:rsidRDefault="001D7311" w:rsidP="009D0BE6">
      <w:pPr>
        <w:pStyle w:val="ListParagraph"/>
        <w:numPr>
          <w:ilvl w:val="0"/>
          <w:numId w:val="49"/>
        </w:numPr>
        <w:suppressAutoHyphens w:val="0"/>
        <w:spacing w:before="0" w:after="0"/>
      </w:pPr>
      <w:r>
        <w:t xml:space="preserve">Griffith University have produced an eBook resource titled </w:t>
      </w:r>
      <w:r w:rsidRPr="009D0BE6">
        <w:rPr>
          <w:i/>
          <w:iCs/>
        </w:rPr>
        <w:t>Interactive oral assessment; an authentic and integral alternative to examination</w:t>
      </w:r>
      <w:r>
        <w:t xml:space="preserve"> (</w:t>
      </w:r>
      <w:hyperlink r:id="rId22" w:history="1">
        <w:r w:rsidR="009D0BE6" w:rsidRPr="00847F09">
          <w:rPr>
            <w:rStyle w:val="Hyperlink"/>
          </w:rPr>
          <w:t>https://sway.cloud.microsoft/yQ2s0Bm3ILkWtGll?ref=Link</w:t>
        </w:r>
      </w:hyperlink>
      <w:r>
        <w:t>).</w:t>
      </w:r>
    </w:p>
    <w:p w14:paraId="2F42717A" w14:textId="4ED8FCC2" w:rsidR="001D7311" w:rsidRDefault="001D7311" w:rsidP="009D0BE6">
      <w:pPr>
        <w:pStyle w:val="ListParagraph"/>
        <w:numPr>
          <w:ilvl w:val="0"/>
          <w:numId w:val="49"/>
        </w:numPr>
        <w:suppressAutoHyphens w:val="0"/>
        <w:spacing w:before="0" w:after="0"/>
      </w:pPr>
      <w:r>
        <w:lastRenderedPageBreak/>
        <w:t>The Interactive Oral Assessment Community of Practice at Charles Sturt University have developed an educator user guide and a video to help prepare students for IOAs (</w:t>
      </w:r>
      <w:hyperlink r:id="rId23" w:history="1">
        <w:r w:rsidR="009D0BE6" w:rsidRPr="00847F09">
          <w:rPr>
            <w:rStyle w:val="Hyperlink"/>
          </w:rPr>
          <w:t>https://www.csu.edu.au/division/learning-teaching/assessments/assessment-types/interactive-oral-assessment</w:t>
        </w:r>
      </w:hyperlink>
      <w:r>
        <w:t>).</w:t>
      </w:r>
    </w:p>
    <w:p w14:paraId="0A231F4C" w14:textId="7507788E" w:rsidR="001D7311" w:rsidRDefault="001D7311" w:rsidP="0095058F">
      <w:pPr>
        <w:pStyle w:val="ListParagraph"/>
        <w:numPr>
          <w:ilvl w:val="0"/>
          <w:numId w:val="49"/>
        </w:numPr>
        <w:suppressAutoHyphens w:val="0"/>
        <w:spacing w:before="0" w:after="0"/>
      </w:pPr>
      <w:r>
        <w:t>Dublin City University’s Teaching Enhancement Unit provide practical advice, video examples, FAQs, and resources for educators about IOAs</w:t>
      </w:r>
      <w:r w:rsidR="0095058F">
        <w:t xml:space="preserve"> (</w:t>
      </w:r>
      <w:hyperlink r:id="rId24" w:history="1">
        <w:r w:rsidR="0095058F" w:rsidRPr="00847F09">
          <w:rPr>
            <w:rStyle w:val="Hyperlink"/>
          </w:rPr>
          <w:t>https://www.dcu.ie/teu/interactive-oral-assessment</w:t>
        </w:r>
      </w:hyperlink>
      <w:r w:rsidR="0095058F">
        <w:t>)</w:t>
      </w:r>
      <w:r>
        <w:t xml:space="preserve">. </w:t>
      </w:r>
    </w:p>
    <w:p w14:paraId="00745B70" w14:textId="77777777" w:rsidR="001D7311" w:rsidRDefault="001D7311" w:rsidP="001D7311">
      <w:r>
        <w:t>Additional resources and academic articles about IOAs can be found in the Reference list below.</w:t>
      </w:r>
    </w:p>
    <w:p w14:paraId="3EBD04DF" w14:textId="77777777" w:rsidR="000D0450" w:rsidRDefault="000D0450" w:rsidP="000D0450">
      <w:pPr>
        <w:pStyle w:val="Heading1"/>
      </w:pPr>
      <w:r>
        <w:t>Acknowledgements</w:t>
      </w:r>
    </w:p>
    <w:p w14:paraId="4DA4864B" w14:textId="6FE0C780" w:rsidR="001D7311" w:rsidRPr="001D7311" w:rsidRDefault="000D0450" w:rsidP="001D7311">
      <w:r>
        <w:t>This resource was developed with the assistance of Kate MacDonald, Elena Balcaite, Leah Schwartz, Jamie Evans, Samantha Marangell, Grace Thompson and Maggie Singorahardjo.</w:t>
      </w:r>
    </w:p>
    <w:p w14:paraId="57F4CD10" w14:textId="77777777" w:rsidR="000D0450" w:rsidRDefault="000D0450" w:rsidP="000D0450">
      <w:pPr>
        <w:pStyle w:val="Heading1"/>
      </w:pPr>
      <w:r w:rsidRPr="00EE0EC6">
        <w:t>References</w:t>
      </w:r>
    </w:p>
    <w:p w14:paraId="656BD0DA" w14:textId="77777777" w:rsidR="000D0450" w:rsidRDefault="000D0450" w:rsidP="000D0450">
      <w:pPr>
        <w:spacing w:after="0" w:line="278" w:lineRule="auto"/>
        <w:ind w:left="720" w:hanging="720"/>
      </w:pPr>
      <w:r w:rsidRPr="00EE0EC6">
        <w:rPr>
          <w:rFonts w:eastAsia="Arial" w:cs="Arial"/>
        </w:rPr>
        <w:t>Carbonel, H. (2024, 19 June).</w:t>
      </w:r>
      <w:r w:rsidRPr="00EE0EC6">
        <w:rPr>
          <w:rFonts w:eastAsia="Arial" w:cs="Arial"/>
          <w:i/>
          <w:iCs/>
        </w:rPr>
        <w:t xml:space="preserve"> Interactive oral assessments, a meaningful option for your module? </w:t>
      </w:r>
      <w:hyperlink r:id="rId25">
        <w:r w:rsidRPr="16AB2BD3">
          <w:rPr>
            <w:rStyle w:val="Hyperlink"/>
            <w:rFonts w:eastAsia="Arial" w:cs="Arial"/>
          </w:rPr>
          <w:t>https://unidistance.ch/en/edudl-resources/article-edudl/interactive-oral-assessments-a-meaningful-option-for-your-module</w:t>
        </w:r>
      </w:hyperlink>
    </w:p>
    <w:p w14:paraId="74382691" w14:textId="77777777" w:rsidR="000D0450" w:rsidRPr="005D1A5D" w:rsidRDefault="000D0450" w:rsidP="000D0450">
      <w:pPr>
        <w:spacing w:after="0" w:line="278" w:lineRule="auto"/>
        <w:ind w:left="720" w:hanging="720"/>
        <w:rPr>
          <w:rFonts w:eastAsia="Arial" w:cs="Arial"/>
        </w:rPr>
      </w:pPr>
      <w:r>
        <w:rPr>
          <w:rFonts w:eastAsia="Arial" w:cs="Arial"/>
        </w:rPr>
        <w:t xml:space="preserve">Fenton, A. (2025). Reconsidering the use of oral exams and assessments: An old way to move into a new future. </w:t>
      </w:r>
      <w:r>
        <w:rPr>
          <w:rFonts w:eastAsia="Arial" w:cs="Arial"/>
          <w:i/>
          <w:iCs/>
        </w:rPr>
        <w:t>Educational Researcher</w:t>
      </w:r>
      <w:r>
        <w:rPr>
          <w:rFonts w:eastAsia="Arial" w:cs="Arial"/>
        </w:rPr>
        <w:t xml:space="preserve">. (Advance online publication). </w:t>
      </w:r>
      <w:r w:rsidRPr="00354ED5">
        <w:rPr>
          <w:rFonts w:eastAsia="Arial" w:cs="Arial"/>
        </w:rPr>
        <w:t>https://doi.org/10.3102/0013189X251333638</w:t>
      </w:r>
    </w:p>
    <w:p w14:paraId="292C6DAE" w14:textId="77777777" w:rsidR="000D0450" w:rsidRDefault="000D0450" w:rsidP="000D0450">
      <w:pPr>
        <w:spacing w:after="0" w:line="278" w:lineRule="auto"/>
        <w:ind w:left="720" w:hanging="720"/>
      </w:pPr>
      <w:r w:rsidRPr="00EE0EC6">
        <w:rPr>
          <w:rFonts w:eastAsia="Arial" w:cs="Arial"/>
        </w:rPr>
        <w:t xml:space="preserve">Kalman, E., Miller, B., &amp; Liu, D. (2024, 18 April). Five myths about interactive oral assessments and how to get started. </w:t>
      </w:r>
      <w:r w:rsidRPr="00EE0EC6">
        <w:rPr>
          <w:rFonts w:eastAsia="Arial" w:cs="Arial"/>
          <w:i/>
          <w:iCs/>
        </w:rPr>
        <w:t>Teaching @ Sydney.</w:t>
      </w:r>
      <w:r w:rsidRPr="00EE0EC6">
        <w:rPr>
          <w:rFonts w:eastAsia="Arial" w:cs="Arial"/>
        </w:rPr>
        <w:t xml:space="preserve"> </w:t>
      </w:r>
      <w:hyperlink r:id="rId26">
        <w:r w:rsidRPr="006665E3">
          <w:rPr>
            <w:rStyle w:val="Hyperlink"/>
          </w:rPr>
          <w:t>https://educational-innovation.sydney.edu.au/teaching@sydney/five-myths-about-interactive-oral-assessments-and-how-to-get-started/</w:t>
        </w:r>
      </w:hyperlink>
    </w:p>
    <w:p w14:paraId="2878805B" w14:textId="77777777" w:rsidR="000D0450" w:rsidRDefault="000D0450" w:rsidP="000D0450">
      <w:pPr>
        <w:spacing w:after="0" w:line="278" w:lineRule="auto"/>
        <w:ind w:left="720" w:hanging="720"/>
        <w:rPr>
          <w:rFonts w:eastAsia="Arial" w:cs="Arial"/>
        </w:rPr>
      </w:pPr>
      <w:r>
        <w:rPr>
          <w:rFonts w:eastAsia="Arial" w:cs="Arial"/>
        </w:rPr>
        <w:t xml:space="preserve">Interactive Oral Assessment Community of Practice (2023). </w:t>
      </w:r>
      <w:r>
        <w:rPr>
          <w:rFonts w:eastAsia="Arial" w:cs="Arial"/>
          <w:i/>
          <w:iCs/>
        </w:rPr>
        <w:t>Interactive oral assessments user guide</w:t>
      </w:r>
      <w:r>
        <w:rPr>
          <w:rFonts w:eastAsia="Arial" w:cs="Arial"/>
        </w:rPr>
        <w:t xml:space="preserve">. Division of Learning and Teaching, Charles Sturt University. </w:t>
      </w:r>
      <w:hyperlink r:id="rId27" w:history="1">
        <w:r w:rsidRPr="00FE3013">
          <w:rPr>
            <w:rStyle w:val="Hyperlink"/>
            <w:rFonts w:eastAsia="Arial" w:cs="Arial"/>
          </w:rPr>
          <w:t>https://cdn.csu.edu.au/__data/assets/pdf_file/0003/4352061/Interactive-Oral-Assessments-User-Guide.pdf</w:t>
        </w:r>
      </w:hyperlink>
    </w:p>
    <w:p w14:paraId="31E0FC39" w14:textId="77777777" w:rsidR="000D0450" w:rsidRPr="00EE0EC6" w:rsidRDefault="000D0450" w:rsidP="000D0450">
      <w:pPr>
        <w:spacing w:after="0" w:line="278" w:lineRule="auto"/>
        <w:ind w:left="720" w:hanging="720"/>
        <w:rPr>
          <w:rFonts w:eastAsia="Arial" w:cs="Arial"/>
        </w:rPr>
      </w:pPr>
      <w:r w:rsidRPr="00E227D5">
        <w:rPr>
          <w:rFonts w:eastAsia="Arial" w:cs="Arial"/>
        </w:rPr>
        <w:t>Krautloher</w:t>
      </w:r>
      <w:r>
        <w:rPr>
          <w:rFonts w:eastAsia="Arial" w:cs="Arial"/>
        </w:rPr>
        <w:t>, A.</w:t>
      </w:r>
      <w:r w:rsidRPr="00E227D5">
        <w:rPr>
          <w:rFonts w:eastAsia="Arial" w:cs="Arial"/>
        </w:rPr>
        <w:t xml:space="preserve"> (2024). Improving </w:t>
      </w:r>
      <w:r>
        <w:rPr>
          <w:rFonts w:eastAsia="Arial" w:cs="Arial"/>
        </w:rPr>
        <w:t>a</w:t>
      </w:r>
      <w:r w:rsidRPr="00E227D5">
        <w:rPr>
          <w:rFonts w:eastAsia="Arial" w:cs="Arial"/>
        </w:rPr>
        <w:t xml:space="preserve">ssessment </w:t>
      </w:r>
      <w:r>
        <w:rPr>
          <w:rFonts w:eastAsia="Arial" w:cs="Arial"/>
        </w:rPr>
        <w:t>e</w:t>
      </w:r>
      <w:r w:rsidRPr="00E227D5">
        <w:rPr>
          <w:rFonts w:eastAsia="Arial" w:cs="Arial"/>
        </w:rPr>
        <w:t xml:space="preserve">quity using </w:t>
      </w:r>
      <w:r>
        <w:rPr>
          <w:rFonts w:eastAsia="Arial" w:cs="Arial"/>
        </w:rPr>
        <w:t>i</w:t>
      </w:r>
      <w:r w:rsidRPr="00E227D5">
        <w:rPr>
          <w:rFonts w:eastAsia="Arial" w:cs="Arial"/>
        </w:rPr>
        <w:t xml:space="preserve">nteractive </w:t>
      </w:r>
      <w:r>
        <w:rPr>
          <w:rFonts w:eastAsia="Arial" w:cs="Arial"/>
        </w:rPr>
        <w:t>o</w:t>
      </w:r>
      <w:r w:rsidRPr="00E227D5">
        <w:rPr>
          <w:rFonts w:eastAsia="Arial" w:cs="Arial"/>
        </w:rPr>
        <w:t>ral</w:t>
      </w:r>
      <w:r>
        <w:rPr>
          <w:rFonts w:eastAsia="Arial" w:cs="Arial"/>
        </w:rPr>
        <w:t xml:space="preserve"> a</w:t>
      </w:r>
      <w:r w:rsidRPr="00E227D5">
        <w:rPr>
          <w:rFonts w:eastAsia="Arial" w:cs="Arial"/>
        </w:rPr>
        <w:t xml:space="preserve">ssessments. </w:t>
      </w:r>
      <w:r w:rsidRPr="006665E3">
        <w:rPr>
          <w:rFonts w:eastAsia="Arial" w:cs="Arial"/>
          <w:i/>
          <w:iCs/>
        </w:rPr>
        <w:t>Journal of University Teaching &amp; Learning Practice, 21</w:t>
      </w:r>
      <w:r>
        <w:rPr>
          <w:rFonts w:eastAsia="Arial" w:cs="Arial"/>
        </w:rPr>
        <w:t xml:space="preserve"> (4).</w:t>
      </w:r>
      <w:r w:rsidRPr="00E227D5">
        <w:rPr>
          <w:rFonts w:eastAsia="Arial" w:cs="Arial"/>
        </w:rPr>
        <w:t xml:space="preserve"> </w:t>
      </w:r>
      <w:hyperlink r:id="rId28" w:history="1">
        <w:r w:rsidRPr="00E227D5">
          <w:rPr>
            <w:rStyle w:val="Hyperlink"/>
            <w:rFonts w:eastAsia="Arial" w:cs="Arial"/>
          </w:rPr>
          <w:t>https://doi.org/10.53761/4hg1me11</w:t>
        </w:r>
      </w:hyperlink>
    </w:p>
    <w:p w14:paraId="1F38F665" w14:textId="77777777" w:rsidR="000D0450" w:rsidRDefault="000D0450" w:rsidP="000D0450">
      <w:pPr>
        <w:spacing w:after="0" w:line="278" w:lineRule="auto"/>
        <w:ind w:left="720" w:hanging="720"/>
        <w:rPr>
          <w:rFonts w:eastAsia="Arial" w:cs="Arial"/>
        </w:rPr>
      </w:pPr>
      <w:r w:rsidRPr="00EE0EC6">
        <w:rPr>
          <w:rFonts w:eastAsia="Arial" w:cs="Arial"/>
        </w:rPr>
        <w:t xml:space="preserve">Logan, D. &amp; Sotiriadou, P. (2020). </w:t>
      </w:r>
      <w:r w:rsidRPr="00EE0EC6">
        <w:rPr>
          <w:rFonts w:eastAsia="Arial" w:cs="Arial"/>
          <w:i/>
          <w:iCs/>
        </w:rPr>
        <w:t>Interactive oral assessment</w:t>
      </w:r>
      <w:r>
        <w:rPr>
          <w:rFonts w:eastAsia="Arial" w:cs="Arial"/>
          <w:i/>
          <w:iCs/>
        </w:rPr>
        <w:t>s: A viable solution to mitigate potential reverse effects of global threats to the higher education sector</w:t>
      </w:r>
      <w:r w:rsidRPr="00EE0EC6">
        <w:rPr>
          <w:rFonts w:eastAsia="Arial" w:cs="Arial"/>
          <w:i/>
          <w:iCs/>
        </w:rPr>
        <w:t>.</w:t>
      </w:r>
      <w:r w:rsidRPr="00EE0EC6">
        <w:rPr>
          <w:rFonts w:eastAsia="Arial" w:cs="Arial"/>
        </w:rPr>
        <w:t xml:space="preserve"> Griffith Business School. </w:t>
      </w:r>
      <w:r w:rsidRPr="00F06390">
        <w:t xml:space="preserve"> </w:t>
      </w:r>
      <w:hyperlink r:id="rId29" w:history="1">
        <w:r w:rsidRPr="00C64D3F">
          <w:rPr>
            <w:rStyle w:val="Hyperlink"/>
          </w:rPr>
          <w:t>h</w:t>
        </w:r>
        <w:r w:rsidRPr="00C64D3F">
          <w:rPr>
            <w:rStyle w:val="Hyperlink"/>
            <w:rFonts w:eastAsia="Arial" w:cs="Arial"/>
          </w:rPr>
          <w:t>ttps://app.secure.griffith.edu.au/exlnt/uploads/attachments/09569/493e94a4b8454848830a005e9397a32c614f745b.pdf</w:t>
        </w:r>
      </w:hyperlink>
    </w:p>
    <w:p w14:paraId="67513271" w14:textId="77777777" w:rsidR="000D0450" w:rsidRPr="00EE0EC6" w:rsidRDefault="000D0450" w:rsidP="000D0450">
      <w:pPr>
        <w:spacing w:after="0" w:line="278" w:lineRule="auto"/>
        <w:ind w:left="720" w:hanging="720"/>
      </w:pPr>
      <w:r w:rsidRPr="00EE0EC6">
        <w:rPr>
          <w:rFonts w:eastAsia="Arial" w:cs="Arial"/>
        </w:rPr>
        <w:t xml:space="preserve">Logan-Fleming, D., Sotiriadou, P., Daly, A., &amp; Guest, R. (2024). </w:t>
      </w:r>
      <w:r w:rsidRPr="00EE0EC6">
        <w:rPr>
          <w:rFonts w:eastAsia="Arial" w:cs="Arial"/>
          <w:i/>
          <w:iCs/>
        </w:rPr>
        <w:t>Interactive oral assessment: An authentic and integral alternative to examination.</w:t>
      </w:r>
      <w:r w:rsidRPr="00EE0EC6">
        <w:rPr>
          <w:rFonts w:eastAsia="Arial" w:cs="Arial"/>
        </w:rPr>
        <w:t xml:space="preserve"> Griffith University. </w:t>
      </w:r>
      <w:hyperlink r:id="rId30">
        <w:r w:rsidRPr="00EE0EC6">
          <w:rPr>
            <w:rStyle w:val="Hyperlink"/>
            <w:rFonts w:eastAsia="Arial" w:cs="Arial"/>
          </w:rPr>
          <w:t>https://sway.cloud.microsoft/yQ2s0Bm3ILkWtGll?ref=Link</w:t>
        </w:r>
      </w:hyperlink>
    </w:p>
    <w:p w14:paraId="31090A45" w14:textId="77777777" w:rsidR="000D0450" w:rsidRPr="00EE0EC6" w:rsidRDefault="000D0450" w:rsidP="000D0450">
      <w:pPr>
        <w:spacing w:after="0" w:line="278" w:lineRule="auto"/>
        <w:ind w:left="720" w:hanging="720"/>
        <w:rPr>
          <w:rFonts w:cs="Arial"/>
        </w:rPr>
      </w:pPr>
      <w:r w:rsidRPr="00EE0EC6">
        <w:rPr>
          <w:rFonts w:cs="Arial"/>
        </w:rPr>
        <w:t xml:space="preserve">O’Riordan, F. (2023). </w:t>
      </w:r>
      <w:r w:rsidRPr="00EE0EC6">
        <w:rPr>
          <w:rFonts w:cs="Arial"/>
          <w:i/>
          <w:iCs/>
        </w:rPr>
        <w:t>Interactive oral assessments: User guide for academics and students.</w:t>
      </w:r>
      <w:r w:rsidRPr="00EE0EC6">
        <w:rPr>
          <w:rFonts w:cs="Arial"/>
        </w:rPr>
        <w:t xml:space="preserve"> Dublin City University. Retrieved from: </w:t>
      </w:r>
      <w:hyperlink r:id="rId31" w:history="1">
        <w:r w:rsidRPr="00EE0EC6">
          <w:rPr>
            <w:rStyle w:val="Hyperlink"/>
            <w:rFonts w:cs="Arial"/>
          </w:rPr>
          <w:t>www.dcu.ie/sites/default/files/inline-files/interactive-oral-io-user-guide_0.pdf</w:t>
        </w:r>
      </w:hyperlink>
      <w:r w:rsidRPr="00EE0EC6">
        <w:rPr>
          <w:rFonts w:eastAsia="Arial" w:cs="Arial"/>
        </w:rPr>
        <w:t xml:space="preserve"> </w:t>
      </w:r>
    </w:p>
    <w:p w14:paraId="42DBBE27" w14:textId="77777777" w:rsidR="000D0450" w:rsidRDefault="000D0450" w:rsidP="000D0450">
      <w:pPr>
        <w:spacing w:after="0" w:line="278" w:lineRule="auto"/>
        <w:ind w:left="720" w:hanging="720"/>
      </w:pPr>
      <w:r w:rsidRPr="00EE0EC6">
        <w:rPr>
          <w:rFonts w:eastAsia="Arial" w:cs="Arial"/>
        </w:rPr>
        <w:lastRenderedPageBreak/>
        <w:t>O’Riordan, F., Thangaraj, J., Girme, P. &amp; Ward, M. (2025): Interactive oral assessment: Sta</w:t>
      </w:r>
      <w:r w:rsidRPr="00EE0EC6">
        <w:rPr>
          <w:rFonts w:ascii="Arial" w:eastAsia="Arial" w:hAnsi="Arial" w:cs="Arial"/>
        </w:rPr>
        <w:t>ﬀ</w:t>
      </w:r>
      <w:r w:rsidRPr="00EE0EC6">
        <w:rPr>
          <w:rFonts w:eastAsia="Arial" w:cs="Arial"/>
        </w:rPr>
        <w:t xml:space="preserve"> perceptions, challenges and bene</w:t>
      </w:r>
      <w:r w:rsidRPr="00EE0EC6">
        <w:rPr>
          <w:rFonts w:ascii="Aptos" w:eastAsia="Arial" w:hAnsi="Aptos" w:cs="Aptos"/>
        </w:rPr>
        <w:t>ﬁ</w:t>
      </w:r>
      <w:r w:rsidRPr="00EE0EC6">
        <w:rPr>
          <w:rFonts w:eastAsia="Arial" w:cs="Arial"/>
        </w:rPr>
        <w:t xml:space="preserve">ts of this robust, authentic assessment design approach. </w:t>
      </w:r>
      <w:r w:rsidRPr="00EE0EC6">
        <w:rPr>
          <w:rFonts w:eastAsia="Arial" w:cs="Arial"/>
          <w:i/>
          <w:iCs/>
        </w:rPr>
        <w:t xml:space="preserve">Innovations in Education and Teaching International. </w:t>
      </w:r>
      <w:r w:rsidRPr="00EE0EC6">
        <w:rPr>
          <w:rFonts w:eastAsia="Arial" w:cs="Arial"/>
        </w:rPr>
        <w:t>Advance online</w:t>
      </w:r>
      <w:r w:rsidRPr="00EE0EC6">
        <w:rPr>
          <w:rFonts w:eastAsia="Arial" w:cs="Arial"/>
          <w:i/>
          <w:iCs/>
        </w:rPr>
        <w:t xml:space="preserve"> </w:t>
      </w:r>
      <w:r w:rsidRPr="00EE0EC6">
        <w:rPr>
          <w:rFonts w:eastAsia="Arial" w:cs="Arial"/>
        </w:rPr>
        <w:t>publication.</w:t>
      </w:r>
      <w:r w:rsidRPr="00EE0EC6">
        <w:rPr>
          <w:rFonts w:eastAsia="Arial" w:cs="Arial"/>
          <w:i/>
          <w:iCs/>
        </w:rPr>
        <w:t xml:space="preserve"> </w:t>
      </w:r>
      <w:hyperlink r:id="rId32">
        <w:r w:rsidRPr="00EE0EC6">
          <w:rPr>
            <w:rStyle w:val="Hyperlink"/>
            <w:rFonts w:eastAsia="Arial" w:cs="Arial"/>
          </w:rPr>
          <w:t>https://doi.org/10.1080/14703297.2025.2477160</w:t>
        </w:r>
      </w:hyperlink>
    </w:p>
    <w:p w14:paraId="031AA3C8" w14:textId="77777777" w:rsidR="000D0450" w:rsidRDefault="000D0450" w:rsidP="000D0450">
      <w:pPr>
        <w:spacing w:after="0" w:line="278" w:lineRule="auto"/>
        <w:ind w:left="720" w:hanging="720"/>
      </w:pPr>
      <w:r w:rsidRPr="006F744A">
        <w:t>Sotiriadou, P., Logan, D., Daly, A., &amp; Guest, R. (2019). The role of authentic assessment to preserve academic integrity and promote skill development and employability. </w:t>
      </w:r>
      <w:r w:rsidRPr="006F744A">
        <w:rPr>
          <w:i/>
          <w:iCs/>
        </w:rPr>
        <w:t>Studies in Higher Education</w:t>
      </w:r>
      <w:r w:rsidRPr="006F744A">
        <w:t>, </w:t>
      </w:r>
      <w:r w:rsidRPr="006F744A">
        <w:rPr>
          <w:i/>
          <w:iCs/>
        </w:rPr>
        <w:t>45</w:t>
      </w:r>
      <w:r w:rsidRPr="006F744A">
        <w:t xml:space="preserve">(11), 2132–2148. </w:t>
      </w:r>
      <w:hyperlink r:id="rId33" w:history="1">
        <w:r w:rsidRPr="00C64D3F">
          <w:rPr>
            <w:rStyle w:val="Hyperlink"/>
          </w:rPr>
          <w:t>https://doi.org/10.1080/03075079.2019.1582015</w:t>
        </w:r>
      </w:hyperlink>
    </w:p>
    <w:p w14:paraId="3009D951" w14:textId="77777777" w:rsidR="000D0450" w:rsidRDefault="000D0450" w:rsidP="000D0450">
      <w:pPr>
        <w:spacing w:after="0" w:line="278" w:lineRule="auto"/>
        <w:ind w:left="720" w:hanging="720"/>
      </w:pPr>
      <w:r w:rsidRPr="00EA5C87">
        <w:t>Tan, C. P., Howes, D., Tan, R. K. W., &amp; Dancza, K. M. (2021). Developing interactive oral assessments to foster graduate attributes in higher education. </w:t>
      </w:r>
      <w:r w:rsidRPr="00EA5C87">
        <w:rPr>
          <w:i/>
          <w:iCs/>
        </w:rPr>
        <w:t>Assessment &amp; Evaluation in Higher Education</w:t>
      </w:r>
      <w:r w:rsidRPr="00EA5C87">
        <w:t>, </w:t>
      </w:r>
      <w:r w:rsidRPr="00EA5C87">
        <w:rPr>
          <w:i/>
          <w:iCs/>
        </w:rPr>
        <w:t>47</w:t>
      </w:r>
      <w:r w:rsidRPr="00EA5C87">
        <w:t xml:space="preserve">(8), 1183–1199. </w:t>
      </w:r>
      <w:hyperlink r:id="rId34" w:history="1">
        <w:r w:rsidRPr="00C64D3F">
          <w:rPr>
            <w:rStyle w:val="Hyperlink"/>
          </w:rPr>
          <w:t>https://doi.org/10.1080/02602938.2021.2020722</w:t>
        </w:r>
      </w:hyperlink>
    </w:p>
    <w:p w14:paraId="04E2D1F9" w14:textId="77777777" w:rsidR="000D0450" w:rsidRPr="00D67E89" w:rsidRDefault="000D0450" w:rsidP="000D0450">
      <w:pPr>
        <w:spacing w:after="0" w:line="278" w:lineRule="auto"/>
        <w:ind w:left="720" w:hanging="720"/>
        <w:rPr>
          <w:rFonts w:eastAsia="Arial" w:cs="Arial"/>
          <w:color w:val="467886"/>
          <w:u w:val="single"/>
        </w:rPr>
      </w:pPr>
      <w:r w:rsidRPr="00EE0EC6">
        <w:rPr>
          <w:rFonts w:eastAsia="Arial" w:cs="Arial"/>
        </w:rPr>
        <w:t xml:space="preserve">TeachWell Digital (2024, 21 February). </w:t>
      </w:r>
      <w:r w:rsidRPr="00EE0EC6">
        <w:rPr>
          <w:rFonts w:eastAsia="Arial" w:cs="Arial"/>
          <w:i/>
          <w:iCs/>
        </w:rPr>
        <w:t>Interactive oral assessments.</w:t>
      </w:r>
      <w:r w:rsidRPr="00EE0EC6">
        <w:rPr>
          <w:rFonts w:eastAsia="Arial" w:cs="Arial"/>
          <w:i/>
          <w:iCs/>
          <w:color w:val="467886"/>
          <w:u w:val="single"/>
        </w:rPr>
        <w:t xml:space="preserve"> </w:t>
      </w:r>
      <w:hyperlink r:id="rId35" w:history="1">
        <w:r w:rsidRPr="006665E3">
          <w:rPr>
            <w:rStyle w:val="Hyperlink"/>
            <w:rFonts w:eastAsia="Arial" w:cs="Arial"/>
          </w:rPr>
          <w:t>https://teachwell.auckland.ac.nz/assessment/interactive-oral-assessments/</w:t>
        </w:r>
      </w:hyperlink>
    </w:p>
    <w:p w14:paraId="47B6BFA0" w14:textId="1D811052" w:rsidR="00964F8C" w:rsidRPr="0055173E" w:rsidRDefault="000D0450" w:rsidP="0055173E">
      <w:pPr>
        <w:spacing w:after="0" w:line="278" w:lineRule="auto"/>
        <w:ind w:left="720" w:hanging="720"/>
        <w:rPr>
          <w:rFonts w:eastAsia="Arial" w:cs="Arial"/>
        </w:rPr>
      </w:pPr>
      <w:r w:rsidRPr="00EE0EC6">
        <w:rPr>
          <w:rFonts w:eastAsia="Arial" w:cs="Arial"/>
        </w:rPr>
        <w:t xml:space="preserve">Ward, M., O’Riordan, F., Logan-Fleming, D., Cooke, D., Concannon-Gibney, T., Efthymiou, M., &amp; Watkins, N. (2024). Interactive oral assessment case studies: An innovative, academically rigorous, authentic assessment approach. </w:t>
      </w:r>
      <w:r w:rsidRPr="00EE0EC6">
        <w:rPr>
          <w:rFonts w:eastAsia="Arial" w:cs="Arial"/>
          <w:i/>
          <w:iCs/>
        </w:rPr>
        <w:t xml:space="preserve">Innovations in Education and Teaching International, </w:t>
      </w:r>
      <w:r w:rsidRPr="00EE0EC6">
        <w:rPr>
          <w:rFonts w:eastAsia="Arial" w:cs="Arial"/>
        </w:rPr>
        <w:t xml:space="preserve">61(5), 930-947. </w:t>
      </w:r>
      <w:hyperlink r:id="rId36" w:history="1">
        <w:r w:rsidRPr="00EE0EC6">
          <w:rPr>
            <w:rStyle w:val="Hyperlink"/>
            <w:rFonts w:eastAsia="Arial" w:cs="Arial"/>
          </w:rPr>
          <w:t>https://doi.org/10.1080/14703297.2023.2251967</w:t>
        </w:r>
      </w:hyperlink>
    </w:p>
    <w:tbl>
      <w:tblPr>
        <w:tblStyle w:val="LayoutGrid"/>
        <w:tblpPr w:leftFromText="181" w:rightFromText="181" w:vertAnchor="page" w:horzAnchor="margin" w:tblpY="9142"/>
        <w:tblOverlap w:val="never"/>
        <w:tblW w:w="10583" w:type="dxa"/>
        <w:tblLook w:val="04A0" w:firstRow="1" w:lastRow="0" w:firstColumn="1" w:lastColumn="0" w:noHBand="0" w:noVBand="1"/>
      </w:tblPr>
      <w:tblGrid>
        <w:gridCol w:w="10583"/>
      </w:tblGrid>
      <w:tr w:rsidR="00217AFB" w:rsidRPr="00FE1C1D" w14:paraId="0D3584C0" w14:textId="77777777" w:rsidTr="00964F8C">
        <w:trPr>
          <w:trHeight w:val="7710"/>
        </w:trPr>
        <w:tc>
          <w:tcPr>
            <w:tcW w:w="10583" w:type="dxa"/>
          </w:tcPr>
          <w:p w14:paraId="3BE64D70" w14:textId="7187EA93" w:rsidR="00217AFB" w:rsidRPr="00FE1C1D" w:rsidRDefault="00F43D5B" w:rsidP="00964F8C">
            <w:pPr>
              <w:tabs>
                <w:tab w:val="left" w:pos="802"/>
                <w:tab w:val="left" w:pos="977"/>
              </w:tabs>
              <w:spacing w:before="0" w:after="0"/>
            </w:pPr>
            <w:r>
              <w:rPr>
                <w:noProof/>
              </w:rPr>
              <w:lastRenderedPageBreak/>
              <w:drawing>
                <wp:anchor distT="0" distB="0" distL="114300" distR="114300" simplePos="0" relativeHeight="251660288" behindDoc="1" locked="0" layoutInCell="1" allowOverlap="1" wp14:anchorId="750712D5" wp14:editId="052AF369">
                  <wp:simplePos x="0" y="0"/>
                  <wp:positionH relativeFrom="column">
                    <wp:posOffset>5104765</wp:posOffset>
                  </wp:positionH>
                  <wp:positionV relativeFrom="paragraph">
                    <wp:posOffset>3144520</wp:posOffset>
                  </wp:positionV>
                  <wp:extent cx="1367790" cy="1367790"/>
                  <wp:effectExtent l="0" t="0" r="3810" b="3810"/>
                  <wp:wrapNone/>
                  <wp:docPr id="1"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a:ext>
                            </a:extLst>
                          </a:blip>
                          <a:stretch>
                            <a:fillRect/>
                          </a:stretch>
                        </pic:blipFill>
                        <pic:spPr>
                          <a:xfrm>
                            <a:off x="0" y="0"/>
                            <a:ext cx="1367790" cy="136779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LayoutGrid"/>
        <w:tblpPr w:leftFromText="180" w:rightFromText="180" w:vertAnchor="text" w:horzAnchor="margin" w:tblpY="-314"/>
        <w:tblW w:w="0" w:type="auto"/>
        <w:tblLook w:val="04A0" w:firstRow="1" w:lastRow="0" w:firstColumn="1" w:lastColumn="0" w:noHBand="0" w:noVBand="1"/>
      </w:tblPr>
      <w:tblGrid>
        <w:gridCol w:w="9638"/>
      </w:tblGrid>
      <w:tr w:rsidR="00F43D5B" w14:paraId="5275AC03" w14:textId="77777777" w:rsidTr="00F43D5B">
        <w:tc>
          <w:tcPr>
            <w:tcW w:w="9638" w:type="dxa"/>
            <w:shd w:val="clear" w:color="auto" w:fill="000F46" w:themeFill="background2"/>
          </w:tcPr>
          <w:p w14:paraId="5390CCEC" w14:textId="5EC8E62D" w:rsidR="00F43D5B" w:rsidRPr="00EA6FFB" w:rsidRDefault="00F43D5B" w:rsidP="00F43D5B">
            <w:pPr>
              <w:pStyle w:val="LastPageContacts"/>
              <w:rPr>
                <w:b/>
                <w:bCs/>
                <w:sz w:val="28"/>
                <w:szCs w:val="28"/>
              </w:rPr>
            </w:pPr>
            <w:r>
              <w:rPr>
                <w:b/>
                <w:bCs/>
                <w:sz w:val="28"/>
                <w:szCs w:val="28"/>
              </w:rPr>
              <w:t>Centre for the Study of Higher Education</w:t>
            </w:r>
          </w:p>
          <w:p w14:paraId="055E7DFF" w14:textId="77777777" w:rsidR="00BC6C90" w:rsidRPr="00BC6C90" w:rsidRDefault="00BC6C90" w:rsidP="00BC6C90">
            <w:pPr>
              <w:pStyle w:val="LastPageContacts"/>
              <w:spacing w:after="0"/>
            </w:pPr>
            <w:r w:rsidRPr="00BC6C90">
              <w:t>Elisabeth Murdoch Building (Building 134)</w:t>
            </w:r>
            <w:r w:rsidRPr="00BC6C90">
              <w:br/>
              <w:t>Spencer Road</w:t>
            </w:r>
            <w:r w:rsidRPr="00BC6C90">
              <w:br/>
              <w:t>The University of Melbourne</w:t>
            </w:r>
            <w:r w:rsidRPr="00BC6C90">
              <w:br/>
              <w:t>VIC 3010</w:t>
            </w:r>
          </w:p>
          <w:p w14:paraId="230D5B56" w14:textId="2C8B1964" w:rsidR="00BC6C90" w:rsidRPr="00BC6C90" w:rsidRDefault="00BC6C90" w:rsidP="00F43D5B">
            <w:pPr>
              <w:pStyle w:val="LastPageContacts"/>
            </w:pPr>
            <w:r w:rsidRPr="00BC6C90">
              <w:t>melbourne-cs</w:t>
            </w:r>
            <w:r w:rsidR="00BA0C1F">
              <w:t>h</w:t>
            </w:r>
            <w:r w:rsidRPr="00BC6C90">
              <w:t>e@unimelb.edu.au</w:t>
            </w:r>
          </w:p>
        </w:tc>
      </w:tr>
    </w:tbl>
    <w:p w14:paraId="28229D72" w14:textId="26ACF9E4" w:rsidR="00F22725" w:rsidRDefault="00F22725">
      <w:pPr>
        <w:suppressAutoHyphens w:val="0"/>
        <w:spacing w:before="0" w:after="0" w:line="240" w:lineRule="auto"/>
      </w:pPr>
    </w:p>
    <w:p w14:paraId="52FEEC30" w14:textId="57D1D559" w:rsidR="00EA3E60" w:rsidRDefault="00EA3E60">
      <w:pPr>
        <w:spacing w:after="0" w:line="240" w:lineRule="auto"/>
      </w:pPr>
    </w:p>
    <w:p w14:paraId="2C1AD91F" w14:textId="07D0296C" w:rsidR="00EA3E60" w:rsidRPr="00234017" w:rsidRDefault="00EA3E60" w:rsidP="00234017">
      <w:r>
        <w:rPr>
          <w:noProof/>
        </w:rPr>
        <w:drawing>
          <wp:anchor distT="0" distB="0" distL="114300" distR="114300" simplePos="0" relativeHeight="251659264" behindDoc="1" locked="0" layoutInCell="1" allowOverlap="1" wp14:anchorId="2930BEF7" wp14:editId="520BB171">
            <wp:simplePos x="0" y="0"/>
            <wp:positionH relativeFrom="page">
              <wp:posOffset>0</wp:posOffset>
            </wp:positionH>
            <wp:positionV relativeFrom="page">
              <wp:posOffset>0</wp:posOffset>
            </wp:positionV>
            <wp:extent cx="7560000" cy="10692000"/>
            <wp:effectExtent l="0" t="0" r="3175" b="0"/>
            <wp:wrapNone/>
            <wp:docPr id="3"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C183D7F6-B498-43B3-948B-1728B52AA6E4}">
                          <adec:decorative xmlns:adec="http://schemas.microsoft.com/office/drawing/2017/decorative" val="1"/>
                        </a:ext>
                      </a:extLst>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D0837DB" w14:textId="77777777" w:rsidR="00EA3E60" w:rsidRDefault="00EA3E60" w:rsidP="000D37DF"/>
    <w:p w14:paraId="5F538BDF" w14:textId="3C4300F1" w:rsidR="00D1738B" w:rsidRPr="00E20600" w:rsidRDefault="00D1738B" w:rsidP="00D1738B"/>
    <w:sectPr w:rsidR="00D1738B" w:rsidRPr="00E20600" w:rsidSect="007A7C3A">
      <w:footerReference w:type="default" r:id="rId38"/>
      <w:pgSz w:w="11906" w:h="16838" w:code="9"/>
      <w:pgMar w:top="1134" w:right="1134" w:bottom="0" w:left="1134" w:header="340"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49B8" w14:textId="77777777" w:rsidR="001F3026" w:rsidRDefault="001F3026">
      <w:r>
        <w:separator/>
      </w:r>
    </w:p>
    <w:p w14:paraId="6ECFD92E" w14:textId="77777777" w:rsidR="001F3026" w:rsidRDefault="001F3026"/>
  </w:endnote>
  <w:endnote w:type="continuationSeparator" w:id="0">
    <w:p w14:paraId="3D27401B" w14:textId="77777777" w:rsidR="001F3026" w:rsidRDefault="001F3026">
      <w:r>
        <w:continuationSeparator/>
      </w:r>
    </w:p>
    <w:p w14:paraId="25D31996" w14:textId="77777777" w:rsidR="001F3026" w:rsidRDefault="001F3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D71FD030-1FF0-4C50-8AC4-7C48EAA579ED}"/>
    <w:embedBold r:id="rId2" w:fontKey="{8BC7F2D6-A9B9-46E1-AB39-CBF907FBC169}"/>
    <w:embedItalic r:id="rId3" w:fontKey="{7522D28D-0255-431B-80B9-9B831C0D2317}"/>
  </w:font>
  <w:font w:name="Calibri">
    <w:panose1 w:val="020F0502020204030204"/>
    <w:charset w:val="00"/>
    <w:family w:val="swiss"/>
    <w:pitch w:val="variable"/>
    <w:sig w:usb0="E4002EFF" w:usb1="C000247B" w:usb2="00000009" w:usb3="00000000" w:csb0="000001FF" w:csb1="00000000"/>
    <w:embedRegular r:id="rId4" w:fontKey="{319D529C-0A7D-426E-81F5-5C7E8B187659}"/>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EBA73B64-26F8-441B-9E73-3F1503F278B1}"/>
  </w:font>
  <w:font w:name="Ubuntu Medium">
    <w:charset w:val="00"/>
    <w:family w:val="swiss"/>
    <w:pitch w:val="variable"/>
    <w:sig w:usb0="E00002FF" w:usb1="5000205B" w:usb2="00000000" w:usb3="00000000" w:csb0="0000009F" w:csb1="00000000"/>
    <w:embedRegular r:id="rId6" w:fontKey="{D7D5F9EB-C0E5-407B-A55F-1BFC61ECE2E1}"/>
    <w:embedBold r:id="rId7" w:fontKey="{9BF3F00A-BEBE-46AB-A749-C44D4F6021D5}"/>
  </w:font>
  <w:font w:name="Aptos">
    <w:charset w:val="00"/>
    <w:family w:val="swiss"/>
    <w:pitch w:val="variable"/>
    <w:sig w:usb0="20000287" w:usb1="00000003" w:usb2="00000000" w:usb3="00000000" w:csb0="0000019F" w:csb1="00000000"/>
    <w:embedRegular r:id="rId8" w:fontKey="{840AD00A-2A06-4F4A-B18F-3345233C9C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000F46" w:themeColor="background2"/>
      </w:tblBorders>
      <w:tblLayout w:type="fixed"/>
      <w:tblCellMar>
        <w:top w:w="57" w:type="dxa"/>
        <w:left w:w="0" w:type="dxa"/>
        <w:right w:w="0" w:type="dxa"/>
      </w:tblCellMar>
      <w:tblLook w:val="04A0" w:firstRow="1" w:lastRow="0" w:firstColumn="1" w:lastColumn="0" w:noHBand="0" w:noVBand="1"/>
    </w:tblPr>
    <w:tblGrid>
      <w:gridCol w:w="6586"/>
      <w:gridCol w:w="3052"/>
    </w:tblGrid>
    <w:tr w:rsidR="00A037DA" w:rsidRPr="009C17EB" w14:paraId="0A8CC1F8" w14:textId="77777777" w:rsidTr="00E05AC3">
      <w:trPr>
        <w:trHeight w:val="454"/>
      </w:trPr>
      <w:tc>
        <w:tcPr>
          <w:tcW w:w="7344" w:type="dxa"/>
          <w:vAlign w:val="center"/>
        </w:tcPr>
        <w:p w14:paraId="27825DB5" w14:textId="01F285F1" w:rsidR="00A037DA" w:rsidRPr="009C17EB" w:rsidRDefault="00A037DA" w:rsidP="00A037DA">
          <w:pPr>
            <w:pStyle w:val="Footer"/>
          </w:pPr>
          <w:r>
            <w:fldChar w:fldCharType="begin"/>
          </w:r>
          <w:r>
            <w:instrText xml:space="preserve"> STYLEREF  Identifier </w:instrText>
          </w:r>
          <w:r>
            <w:fldChar w:fldCharType="separate"/>
          </w:r>
          <w:r w:rsidR="00F92093">
            <w:rPr>
              <w:noProof/>
            </w:rPr>
            <w:t>Centre for the Study of Higher Education</w:t>
          </w:r>
          <w:r>
            <w:fldChar w:fldCharType="end"/>
          </w:r>
          <w:r>
            <w:t xml:space="preserve"> </w:t>
          </w:r>
          <w:r w:rsidRPr="009C17EB">
            <w:t>|</w:t>
          </w:r>
          <w:r>
            <w:t xml:space="preserve"> </w:t>
          </w:r>
          <w:sdt>
            <w:sdtPr>
              <w:alias w:val="Title"/>
              <w:tag w:val=""/>
              <w:id w:val="-1740240523"/>
              <w:dataBinding w:prefixMappings="xmlns:ns0='http://purl.org/dc/elements/1.1/' xmlns:ns1='http://schemas.openxmlformats.org/package/2006/metadata/core-properties' " w:xpath="/ns1:coreProperties[1]/ns0:title[1]" w:storeItemID="{6C3C8BC8-F283-45AE-878A-BAB7291924A1}"/>
              <w:text/>
            </w:sdtPr>
            <w:sdtContent>
              <w:r w:rsidR="00C77EF5" w:rsidRPr="00C77EF5">
                <w:t>Interactive Oral Assessments</w:t>
              </w:r>
            </w:sdtContent>
          </w:sdt>
        </w:p>
      </w:tc>
      <w:tc>
        <w:tcPr>
          <w:tcW w:w="3402" w:type="dxa"/>
          <w:vAlign w:val="center"/>
        </w:tcPr>
        <w:p w14:paraId="4F51A752" w14:textId="3339C5B4" w:rsidR="00A037DA" w:rsidRPr="009C17EB" w:rsidRDefault="00A037DA" w:rsidP="00A037DA">
          <w:pPr>
            <w:pStyle w:val="Footer"/>
            <w:jc w:val="right"/>
            <w:rPr>
              <w:b/>
              <w:bCs/>
            </w:rPr>
          </w:pPr>
          <w:r w:rsidRPr="009C17EB">
            <w:rPr>
              <w:b/>
              <w:bCs/>
            </w:rPr>
            <w:t xml:space="preserve">Page </w:t>
          </w:r>
          <w:r w:rsidRPr="009C17EB">
            <w:rPr>
              <w:b/>
              <w:bCs/>
            </w:rPr>
            <w:fldChar w:fldCharType="begin"/>
          </w:r>
          <w:r w:rsidRPr="009C17EB">
            <w:rPr>
              <w:b/>
              <w:bCs/>
            </w:rPr>
            <w:instrText xml:space="preserve"> PAGE  \* Arabic </w:instrText>
          </w:r>
          <w:r w:rsidRPr="009C17EB">
            <w:rPr>
              <w:b/>
              <w:bCs/>
            </w:rPr>
            <w:fldChar w:fldCharType="separate"/>
          </w:r>
          <w:r>
            <w:rPr>
              <w:b/>
              <w:bCs/>
            </w:rPr>
            <w:t>1</w:t>
          </w:r>
          <w:r w:rsidRPr="009C17EB">
            <w:rPr>
              <w:b/>
              <w:bCs/>
            </w:rPr>
            <w:fldChar w:fldCharType="end"/>
          </w:r>
          <w:r w:rsidRPr="009C17EB">
            <w:rPr>
              <w:b/>
              <w:bCs/>
            </w:rPr>
            <w:t xml:space="preserve"> </w:t>
          </w:r>
        </w:p>
      </w:tc>
    </w:tr>
  </w:tbl>
  <w:p w14:paraId="54F9FE04" w14:textId="77777777" w:rsidR="00A037DA" w:rsidRDefault="00A03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A624C" w14:textId="77777777" w:rsidR="001F3026" w:rsidRPr="001853AA" w:rsidRDefault="001F3026" w:rsidP="001853AA">
      <w:pPr>
        <w:pStyle w:val="FootnoteText"/>
        <w:rPr>
          <w:color w:val="9FB825" w:themeColor="accent5"/>
        </w:rPr>
      </w:pPr>
      <w:r w:rsidRPr="001853AA">
        <w:rPr>
          <w:color w:val="9FB825" w:themeColor="accent5"/>
        </w:rPr>
        <w:separator/>
      </w:r>
    </w:p>
    <w:p w14:paraId="47D9E276" w14:textId="77777777" w:rsidR="001F3026" w:rsidRDefault="001F3026"/>
  </w:footnote>
  <w:footnote w:type="continuationSeparator" w:id="0">
    <w:p w14:paraId="642A6B18" w14:textId="77777777" w:rsidR="001F3026" w:rsidRDefault="001F3026">
      <w:r>
        <w:continuationSeparator/>
      </w:r>
    </w:p>
    <w:p w14:paraId="4A5B56A7" w14:textId="77777777" w:rsidR="001F3026" w:rsidRDefault="001F30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35E57D8"/>
    <w:multiLevelType w:val="multilevel"/>
    <w:tmpl w:val="0C160EEC"/>
    <w:numStyleLink w:val="DefaultBullets"/>
  </w:abstractNum>
  <w:abstractNum w:abstractNumId="8" w15:restartNumberingAfterBreak="0">
    <w:nsid w:val="04FF5D3A"/>
    <w:multiLevelType w:val="hybridMultilevel"/>
    <w:tmpl w:val="831EA382"/>
    <w:lvl w:ilvl="0" w:tplc="8F5A0E38">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5287AD5"/>
    <w:multiLevelType w:val="hybridMultilevel"/>
    <w:tmpl w:val="FD3A5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1BA66FE2"/>
    <w:multiLevelType w:val="hybridMultilevel"/>
    <w:tmpl w:val="15DC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2E4B80"/>
    <w:multiLevelType w:val="multilevel"/>
    <w:tmpl w:val="0C160EEC"/>
    <w:numStyleLink w:val="DefaultBullets"/>
  </w:abstractNum>
  <w:abstractNum w:abstractNumId="16" w15:restartNumberingAfterBreak="0">
    <w:nsid w:val="1C3A13E6"/>
    <w:multiLevelType w:val="hybridMultilevel"/>
    <w:tmpl w:val="4BB85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9C46EF"/>
    <w:multiLevelType w:val="hybridMultilevel"/>
    <w:tmpl w:val="9FA033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A7762ED"/>
    <w:multiLevelType w:val="hybridMultilevel"/>
    <w:tmpl w:val="B37C43B0"/>
    <w:lvl w:ilvl="0" w:tplc="07F47B0A">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6F53B7"/>
    <w:multiLevelType w:val="hybridMultilevel"/>
    <w:tmpl w:val="6368EA02"/>
    <w:lvl w:ilvl="0" w:tplc="16145E64">
      <w:start w:val="1"/>
      <w:numFmt w:val="bullet"/>
      <w:lvlText w:val=""/>
      <w:lvlJc w:val="left"/>
      <w:pPr>
        <w:ind w:left="720" w:hanging="360"/>
      </w:pPr>
      <w:rPr>
        <w:rFonts w:ascii="Symbol" w:hAnsi="Symbol" w:hint="default"/>
      </w:rPr>
    </w:lvl>
    <w:lvl w:ilvl="1" w:tplc="83D29848">
      <w:start w:val="1"/>
      <w:numFmt w:val="bullet"/>
      <w:lvlText w:val="o"/>
      <w:lvlJc w:val="left"/>
      <w:pPr>
        <w:ind w:left="1440" w:hanging="360"/>
      </w:pPr>
      <w:rPr>
        <w:rFonts w:ascii="Courier New" w:hAnsi="Courier New" w:hint="default"/>
      </w:rPr>
    </w:lvl>
    <w:lvl w:ilvl="2" w:tplc="6D968B04">
      <w:start w:val="1"/>
      <w:numFmt w:val="bullet"/>
      <w:lvlText w:val=""/>
      <w:lvlJc w:val="left"/>
      <w:pPr>
        <w:ind w:left="2160" w:hanging="360"/>
      </w:pPr>
      <w:rPr>
        <w:rFonts w:ascii="Wingdings" w:hAnsi="Wingdings" w:hint="default"/>
      </w:rPr>
    </w:lvl>
    <w:lvl w:ilvl="3" w:tplc="B7D016FC">
      <w:start w:val="1"/>
      <w:numFmt w:val="bullet"/>
      <w:lvlText w:val=""/>
      <w:lvlJc w:val="left"/>
      <w:pPr>
        <w:ind w:left="2880" w:hanging="360"/>
      </w:pPr>
      <w:rPr>
        <w:rFonts w:ascii="Symbol" w:hAnsi="Symbol" w:hint="default"/>
      </w:rPr>
    </w:lvl>
    <w:lvl w:ilvl="4" w:tplc="24FC4A18">
      <w:start w:val="1"/>
      <w:numFmt w:val="bullet"/>
      <w:lvlText w:val="o"/>
      <w:lvlJc w:val="left"/>
      <w:pPr>
        <w:ind w:left="3600" w:hanging="360"/>
      </w:pPr>
      <w:rPr>
        <w:rFonts w:ascii="Courier New" w:hAnsi="Courier New" w:hint="default"/>
      </w:rPr>
    </w:lvl>
    <w:lvl w:ilvl="5" w:tplc="E4C6FC7A">
      <w:start w:val="1"/>
      <w:numFmt w:val="bullet"/>
      <w:lvlText w:val=""/>
      <w:lvlJc w:val="left"/>
      <w:pPr>
        <w:ind w:left="4320" w:hanging="360"/>
      </w:pPr>
      <w:rPr>
        <w:rFonts w:ascii="Wingdings" w:hAnsi="Wingdings" w:hint="default"/>
      </w:rPr>
    </w:lvl>
    <w:lvl w:ilvl="6" w:tplc="6CF0D0A2">
      <w:start w:val="1"/>
      <w:numFmt w:val="bullet"/>
      <w:lvlText w:val=""/>
      <w:lvlJc w:val="left"/>
      <w:pPr>
        <w:ind w:left="5040" w:hanging="360"/>
      </w:pPr>
      <w:rPr>
        <w:rFonts w:ascii="Symbol" w:hAnsi="Symbol" w:hint="default"/>
      </w:rPr>
    </w:lvl>
    <w:lvl w:ilvl="7" w:tplc="6BE00740">
      <w:start w:val="1"/>
      <w:numFmt w:val="bullet"/>
      <w:lvlText w:val="o"/>
      <w:lvlJc w:val="left"/>
      <w:pPr>
        <w:ind w:left="5760" w:hanging="360"/>
      </w:pPr>
      <w:rPr>
        <w:rFonts w:ascii="Courier New" w:hAnsi="Courier New" w:hint="default"/>
      </w:rPr>
    </w:lvl>
    <w:lvl w:ilvl="8" w:tplc="7C3C8510">
      <w:start w:val="1"/>
      <w:numFmt w:val="bullet"/>
      <w:lvlText w:val=""/>
      <w:lvlJc w:val="left"/>
      <w:pPr>
        <w:ind w:left="6480" w:hanging="360"/>
      </w:pPr>
      <w:rPr>
        <w:rFonts w:ascii="Wingdings" w:hAnsi="Wingdings" w:hint="default"/>
      </w:rPr>
    </w:lvl>
  </w:abstractNum>
  <w:abstractNum w:abstractNumId="2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B059BC"/>
    <w:multiLevelType w:val="hybridMultilevel"/>
    <w:tmpl w:val="C23E6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24" w15:restartNumberingAfterBreak="0">
    <w:nsid w:val="32940260"/>
    <w:multiLevelType w:val="hybridMultilevel"/>
    <w:tmpl w:val="9060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C84520"/>
    <w:multiLevelType w:val="hybridMultilevel"/>
    <w:tmpl w:val="1AAED2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35D0115"/>
    <w:multiLevelType w:val="hybridMultilevel"/>
    <w:tmpl w:val="54CEF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CF12D9"/>
    <w:multiLevelType w:val="hybridMultilevel"/>
    <w:tmpl w:val="C23E63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6770F2B"/>
    <w:multiLevelType w:val="hybridMultilevel"/>
    <w:tmpl w:val="53F0AA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33" w15:restartNumberingAfterBreak="0">
    <w:nsid w:val="56DB5F4C"/>
    <w:multiLevelType w:val="multilevel"/>
    <w:tmpl w:val="80F49ECC"/>
    <w:styleLink w:val="NumberedHeadings"/>
    <w:lvl w:ilvl="0">
      <w:start w:val="1"/>
      <w:numFmt w:val="decimal"/>
      <w:pStyle w:val="Heading1Numbered"/>
      <w:lvlText w:val="%1."/>
      <w:lvlJc w:val="left"/>
      <w:pPr>
        <w:ind w:left="907" w:hanging="907"/>
      </w:pPr>
      <w:rPr>
        <w:rFonts w:hint="default"/>
      </w:rPr>
    </w:lvl>
    <w:lvl w:ilvl="1">
      <w:start w:val="1"/>
      <w:numFmt w:val="decimal"/>
      <w:pStyle w:val="Heading2Numbered"/>
      <w:lvlText w:val="%1.%2"/>
      <w:lvlJc w:val="left"/>
      <w:pPr>
        <w:ind w:left="907" w:hanging="907"/>
      </w:pPr>
      <w:rPr>
        <w:rFonts w:hint="default"/>
      </w:rPr>
    </w:lvl>
    <w:lvl w:ilvl="2">
      <w:start w:val="1"/>
      <w:numFmt w:val="decimal"/>
      <w:pStyle w:val="Heading3Numbered"/>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5"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3CB1C94"/>
    <w:multiLevelType w:val="hybridMultilevel"/>
    <w:tmpl w:val="3822F374"/>
    <w:lvl w:ilvl="0" w:tplc="93BE768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66919A9"/>
    <w:multiLevelType w:val="multilevel"/>
    <w:tmpl w:val="80F49ECC"/>
    <w:numStyleLink w:val="NumberedHeadings"/>
  </w:abstractNum>
  <w:abstractNum w:abstractNumId="38"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FB954F0"/>
    <w:multiLevelType w:val="multilevel"/>
    <w:tmpl w:val="0C160EEC"/>
    <w:numStyleLink w:val="DefaultBullets"/>
  </w:abstractNum>
  <w:abstractNum w:abstractNumId="41" w15:restartNumberingAfterBreak="0">
    <w:nsid w:val="714C3841"/>
    <w:multiLevelType w:val="hybridMultilevel"/>
    <w:tmpl w:val="6C8CD6B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2D52456"/>
    <w:multiLevelType w:val="hybridMultilevel"/>
    <w:tmpl w:val="45C0327C"/>
    <w:lvl w:ilvl="0" w:tplc="4C5E3A18">
      <w:start w:val="1"/>
      <w:numFmt w:val="bullet"/>
      <w:pStyle w:val="TableBullet"/>
      <w:lvlText w:val="·"/>
      <w:lvlJc w:val="left"/>
      <w:pPr>
        <w:ind w:left="360" w:hanging="360"/>
      </w:pPr>
      <w:rPr>
        <w:rFonts w:ascii="Symbol" w:hAnsi="Symbol"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8A4D83"/>
    <w:multiLevelType w:val="multilevel"/>
    <w:tmpl w:val="0C160EEC"/>
    <w:styleLink w:val="DefaultBullets"/>
    <w:lvl w:ilvl="0">
      <w:start w:val="1"/>
      <w:numFmt w:val="bullet"/>
      <w:pStyle w:val="ListBullet"/>
      <w:lvlText w:val=""/>
      <w:lvlJc w:val="left"/>
      <w:pPr>
        <w:ind w:left="284" w:hanging="284"/>
      </w:pPr>
      <w:rPr>
        <w:rFonts w:ascii="Symbol" w:hAnsi="Symbol" w:hint="default"/>
        <w:b w:val="0"/>
        <w:i w:val="0"/>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b w:val="0"/>
        <w:i w:val="0"/>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4" w15:restartNumberingAfterBreak="0">
    <w:nsid w:val="73CB0942"/>
    <w:multiLevelType w:val="hybridMultilevel"/>
    <w:tmpl w:val="AC328060"/>
    <w:lvl w:ilvl="0" w:tplc="24868C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FA3C17"/>
    <w:multiLevelType w:val="hybridMultilevel"/>
    <w:tmpl w:val="E8B04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48" w15:restartNumberingAfterBreak="0">
    <w:nsid w:val="7FDC00FF"/>
    <w:multiLevelType w:val="hybridMultilevel"/>
    <w:tmpl w:val="DBB2D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2"/>
  </w:num>
  <w:num w:numId="6" w16cid:durableId="1064721360">
    <w:abstractNumId w:val="4"/>
  </w:num>
  <w:num w:numId="7" w16cid:durableId="893538758">
    <w:abstractNumId w:val="46"/>
  </w:num>
  <w:num w:numId="8" w16cid:durableId="1457992361">
    <w:abstractNumId w:val="18"/>
  </w:num>
  <w:num w:numId="9" w16cid:durableId="1900511158">
    <w:abstractNumId w:val="47"/>
  </w:num>
  <w:num w:numId="10" w16cid:durableId="1549680667">
    <w:abstractNumId w:val="23"/>
  </w:num>
  <w:num w:numId="11" w16cid:durableId="1046679214">
    <w:abstractNumId w:val="32"/>
  </w:num>
  <w:num w:numId="12" w16cid:durableId="1022629159">
    <w:abstractNumId w:val="13"/>
  </w:num>
  <w:num w:numId="13" w16cid:durableId="742027826">
    <w:abstractNumId w:val="42"/>
  </w:num>
  <w:num w:numId="14" w16cid:durableId="1243107085">
    <w:abstractNumId w:val="31"/>
  </w:num>
  <w:num w:numId="15" w16cid:durableId="1690182364">
    <w:abstractNumId w:val="34"/>
  </w:num>
  <w:num w:numId="16" w16cid:durableId="1311011460">
    <w:abstractNumId w:val="40"/>
  </w:num>
  <w:num w:numId="17" w16cid:durableId="227352142">
    <w:abstractNumId w:val="27"/>
  </w:num>
  <w:num w:numId="18" w16cid:durableId="425031869">
    <w:abstractNumId w:val="39"/>
  </w:num>
  <w:num w:numId="19" w16cid:durableId="769201557">
    <w:abstractNumId w:val="43"/>
  </w:num>
  <w:num w:numId="20" w16cid:durableId="671185505">
    <w:abstractNumId w:val="35"/>
  </w:num>
  <w:num w:numId="21" w16cid:durableId="1753434138">
    <w:abstractNumId w:val="6"/>
  </w:num>
  <w:num w:numId="22" w16cid:durableId="1215653830">
    <w:abstractNumId w:val="5"/>
  </w:num>
  <w:num w:numId="23" w16cid:durableId="964233573">
    <w:abstractNumId w:val="33"/>
  </w:num>
  <w:num w:numId="24" w16cid:durableId="1220441383">
    <w:abstractNumId w:val="21"/>
  </w:num>
  <w:num w:numId="25" w16cid:durableId="700207418">
    <w:abstractNumId w:val="11"/>
  </w:num>
  <w:num w:numId="26" w16cid:durableId="1658026186">
    <w:abstractNumId w:val="25"/>
  </w:num>
  <w:num w:numId="27" w16cid:durableId="1886747011">
    <w:abstractNumId w:val="37"/>
  </w:num>
  <w:num w:numId="28" w16cid:durableId="1206256018">
    <w:abstractNumId w:val="9"/>
  </w:num>
  <w:num w:numId="29" w16cid:durableId="1590697966">
    <w:abstractNumId w:val="15"/>
  </w:num>
  <w:num w:numId="30" w16cid:durableId="791945246">
    <w:abstractNumId w:val="38"/>
  </w:num>
  <w:num w:numId="31" w16cid:durableId="818694171">
    <w:abstractNumId w:val="7"/>
  </w:num>
  <w:num w:numId="32" w16cid:durableId="839537842">
    <w:abstractNumId w:val="10"/>
  </w:num>
  <w:num w:numId="33" w16cid:durableId="1505508426">
    <w:abstractNumId w:val="24"/>
  </w:num>
  <w:num w:numId="34" w16cid:durableId="2053260333">
    <w:abstractNumId w:val="28"/>
  </w:num>
  <w:num w:numId="35" w16cid:durableId="1895463937">
    <w:abstractNumId w:val="48"/>
  </w:num>
  <w:num w:numId="36" w16cid:durableId="765149662">
    <w:abstractNumId w:val="17"/>
  </w:num>
  <w:num w:numId="37" w16cid:durableId="321004930">
    <w:abstractNumId w:val="26"/>
  </w:num>
  <w:num w:numId="38" w16cid:durableId="1415587478">
    <w:abstractNumId w:val="45"/>
  </w:num>
  <w:num w:numId="39" w16cid:durableId="590819364">
    <w:abstractNumId w:val="19"/>
  </w:num>
  <w:num w:numId="40" w16cid:durableId="662968823">
    <w:abstractNumId w:val="30"/>
  </w:num>
  <w:num w:numId="41" w16cid:durableId="792333126">
    <w:abstractNumId w:val="16"/>
  </w:num>
  <w:num w:numId="42" w16cid:durableId="1723093301">
    <w:abstractNumId w:val="41"/>
  </w:num>
  <w:num w:numId="43" w16cid:durableId="1407073587">
    <w:abstractNumId w:val="14"/>
  </w:num>
  <w:num w:numId="44" w16cid:durableId="1263492417">
    <w:abstractNumId w:val="22"/>
  </w:num>
  <w:num w:numId="45" w16cid:durableId="1420179996">
    <w:abstractNumId w:val="29"/>
  </w:num>
  <w:num w:numId="46" w16cid:durableId="1548293423">
    <w:abstractNumId w:val="36"/>
  </w:num>
  <w:num w:numId="47" w16cid:durableId="1781483818">
    <w:abstractNumId w:val="8"/>
  </w:num>
  <w:num w:numId="48" w16cid:durableId="3293041">
    <w:abstractNumId w:val="44"/>
  </w:num>
  <w:num w:numId="49" w16cid:durableId="181471791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AES" w:cryptAlgorithmClass="hash" w:cryptAlgorithmType="typeAny" w:cryptAlgorithmSid="14" w:cryptSpinCount="100000" w:hash="DxfcMbw+4BPyb8WQRGNTYAAZI5S00iNmgSGiARhey5KYsjErLk2FrI2Ld3A5yAY08/SbGn5/rA2IDScCh6Z8uA==" w:salt="kFL1FI7294966sCXSV3B2w=="/>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E92D77"/>
    <w:rsid w:val="000000F3"/>
    <w:rsid w:val="00001F3A"/>
    <w:rsid w:val="00005149"/>
    <w:rsid w:val="00005561"/>
    <w:rsid w:val="000063F9"/>
    <w:rsid w:val="00006F13"/>
    <w:rsid w:val="0000783C"/>
    <w:rsid w:val="00010FC9"/>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144"/>
    <w:rsid w:val="0003327B"/>
    <w:rsid w:val="00035C72"/>
    <w:rsid w:val="000379A1"/>
    <w:rsid w:val="00037ED9"/>
    <w:rsid w:val="000412B4"/>
    <w:rsid w:val="000423EB"/>
    <w:rsid w:val="000443EF"/>
    <w:rsid w:val="00045719"/>
    <w:rsid w:val="00046882"/>
    <w:rsid w:val="0005233D"/>
    <w:rsid w:val="000527D8"/>
    <w:rsid w:val="0005611C"/>
    <w:rsid w:val="00056F01"/>
    <w:rsid w:val="0006146D"/>
    <w:rsid w:val="00061479"/>
    <w:rsid w:val="00062056"/>
    <w:rsid w:val="000627B3"/>
    <w:rsid w:val="000627F8"/>
    <w:rsid w:val="00063C6A"/>
    <w:rsid w:val="00070395"/>
    <w:rsid w:val="000734BB"/>
    <w:rsid w:val="00076747"/>
    <w:rsid w:val="00076B00"/>
    <w:rsid w:val="00077D64"/>
    <w:rsid w:val="00081AB9"/>
    <w:rsid w:val="00082281"/>
    <w:rsid w:val="000832F5"/>
    <w:rsid w:val="00084C68"/>
    <w:rsid w:val="000852A6"/>
    <w:rsid w:val="00090164"/>
    <w:rsid w:val="00090397"/>
    <w:rsid w:val="00093181"/>
    <w:rsid w:val="00093D6F"/>
    <w:rsid w:val="00093D7A"/>
    <w:rsid w:val="00094872"/>
    <w:rsid w:val="0009638E"/>
    <w:rsid w:val="000964FA"/>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7546"/>
    <w:rsid w:val="000D0450"/>
    <w:rsid w:val="000D1AC1"/>
    <w:rsid w:val="000D1BC1"/>
    <w:rsid w:val="000D2406"/>
    <w:rsid w:val="000D37DF"/>
    <w:rsid w:val="000E0574"/>
    <w:rsid w:val="000E0C55"/>
    <w:rsid w:val="000E1832"/>
    <w:rsid w:val="000E241B"/>
    <w:rsid w:val="000E43E7"/>
    <w:rsid w:val="000E4A5D"/>
    <w:rsid w:val="000E4DD0"/>
    <w:rsid w:val="000E74D6"/>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39A"/>
    <w:rsid w:val="001057D3"/>
    <w:rsid w:val="00106B14"/>
    <w:rsid w:val="0010753D"/>
    <w:rsid w:val="0011005D"/>
    <w:rsid w:val="00112883"/>
    <w:rsid w:val="00114171"/>
    <w:rsid w:val="00114278"/>
    <w:rsid w:val="00116B1D"/>
    <w:rsid w:val="00117492"/>
    <w:rsid w:val="00117651"/>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A0926"/>
    <w:rsid w:val="001A0BAC"/>
    <w:rsid w:val="001A1ABA"/>
    <w:rsid w:val="001A1D62"/>
    <w:rsid w:val="001A1E4C"/>
    <w:rsid w:val="001A2697"/>
    <w:rsid w:val="001A2BF2"/>
    <w:rsid w:val="001A2C8A"/>
    <w:rsid w:val="001A4AE5"/>
    <w:rsid w:val="001A4BF4"/>
    <w:rsid w:val="001A4EA2"/>
    <w:rsid w:val="001A52C4"/>
    <w:rsid w:val="001A64AB"/>
    <w:rsid w:val="001A6FEF"/>
    <w:rsid w:val="001A7123"/>
    <w:rsid w:val="001A777E"/>
    <w:rsid w:val="001A7F2B"/>
    <w:rsid w:val="001B1214"/>
    <w:rsid w:val="001B34D5"/>
    <w:rsid w:val="001B46D6"/>
    <w:rsid w:val="001B4C0E"/>
    <w:rsid w:val="001B7D1C"/>
    <w:rsid w:val="001C012B"/>
    <w:rsid w:val="001C097A"/>
    <w:rsid w:val="001C11BE"/>
    <w:rsid w:val="001C18AB"/>
    <w:rsid w:val="001C2C33"/>
    <w:rsid w:val="001C3A10"/>
    <w:rsid w:val="001C4AAF"/>
    <w:rsid w:val="001C58D8"/>
    <w:rsid w:val="001C620D"/>
    <w:rsid w:val="001C67BD"/>
    <w:rsid w:val="001D1793"/>
    <w:rsid w:val="001D1E1F"/>
    <w:rsid w:val="001D2C6F"/>
    <w:rsid w:val="001D475F"/>
    <w:rsid w:val="001D48D1"/>
    <w:rsid w:val="001D644E"/>
    <w:rsid w:val="001D6934"/>
    <w:rsid w:val="001D696E"/>
    <w:rsid w:val="001D7311"/>
    <w:rsid w:val="001E010B"/>
    <w:rsid w:val="001E0E72"/>
    <w:rsid w:val="001E14C0"/>
    <w:rsid w:val="001E21D8"/>
    <w:rsid w:val="001E28A2"/>
    <w:rsid w:val="001E32C1"/>
    <w:rsid w:val="001E458B"/>
    <w:rsid w:val="001E5932"/>
    <w:rsid w:val="001E5C0F"/>
    <w:rsid w:val="001E6150"/>
    <w:rsid w:val="001E6545"/>
    <w:rsid w:val="001E6C06"/>
    <w:rsid w:val="001E7659"/>
    <w:rsid w:val="001F0A10"/>
    <w:rsid w:val="001F2103"/>
    <w:rsid w:val="001F3026"/>
    <w:rsid w:val="001F443D"/>
    <w:rsid w:val="001F5A9F"/>
    <w:rsid w:val="0020060E"/>
    <w:rsid w:val="002015B4"/>
    <w:rsid w:val="00205705"/>
    <w:rsid w:val="00206445"/>
    <w:rsid w:val="00206649"/>
    <w:rsid w:val="00207F4B"/>
    <w:rsid w:val="002100C1"/>
    <w:rsid w:val="002110CB"/>
    <w:rsid w:val="002124A7"/>
    <w:rsid w:val="00214B17"/>
    <w:rsid w:val="00215E69"/>
    <w:rsid w:val="00215EDD"/>
    <w:rsid w:val="0021625B"/>
    <w:rsid w:val="00217309"/>
    <w:rsid w:val="00217AFB"/>
    <w:rsid w:val="00222F93"/>
    <w:rsid w:val="00224E5C"/>
    <w:rsid w:val="00230772"/>
    <w:rsid w:val="00230D82"/>
    <w:rsid w:val="00231F63"/>
    <w:rsid w:val="00232370"/>
    <w:rsid w:val="00232F1F"/>
    <w:rsid w:val="00233391"/>
    <w:rsid w:val="00234017"/>
    <w:rsid w:val="0023406E"/>
    <w:rsid w:val="00234762"/>
    <w:rsid w:val="00235429"/>
    <w:rsid w:val="00235529"/>
    <w:rsid w:val="00237E80"/>
    <w:rsid w:val="00240322"/>
    <w:rsid w:val="00240979"/>
    <w:rsid w:val="002414B7"/>
    <w:rsid w:val="00241B9E"/>
    <w:rsid w:val="00242D25"/>
    <w:rsid w:val="00243F1A"/>
    <w:rsid w:val="0024585F"/>
    <w:rsid w:val="002459C6"/>
    <w:rsid w:val="00245C2F"/>
    <w:rsid w:val="00251F57"/>
    <w:rsid w:val="002522DC"/>
    <w:rsid w:val="0025230C"/>
    <w:rsid w:val="00252FDD"/>
    <w:rsid w:val="002539D6"/>
    <w:rsid w:val="00253F2B"/>
    <w:rsid w:val="002544C6"/>
    <w:rsid w:val="002571F1"/>
    <w:rsid w:val="00264F20"/>
    <w:rsid w:val="0026527C"/>
    <w:rsid w:val="00266EB3"/>
    <w:rsid w:val="00273F73"/>
    <w:rsid w:val="00274D5E"/>
    <w:rsid w:val="00274D9F"/>
    <w:rsid w:val="002752E0"/>
    <w:rsid w:val="0027681E"/>
    <w:rsid w:val="00280187"/>
    <w:rsid w:val="00280411"/>
    <w:rsid w:val="0028153A"/>
    <w:rsid w:val="0028212E"/>
    <w:rsid w:val="00282486"/>
    <w:rsid w:val="00285730"/>
    <w:rsid w:val="002858D0"/>
    <w:rsid w:val="00290883"/>
    <w:rsid w:val="00290CEE"/>
    <w:rsid w:val="00291EF7"/>
    <w:rsid w:val="00292093"/>
    <w:rsid w:val="0029236B"/>
    <w:rsid w:val="00292622"/>
    <w:rsid w:val="00292CEB"/>
    <w:rsid w:val="00293AB4"/>
    <w:rsid w:val="00294057"/>
    <w:rsid w:val="0029485E"/>
    <w:rsid w:val="00295FA1"/>
    <w:rsid w:val="002A21E7"/>
    <w:rsid w:val="002A3028"/>
    <w:rsid w:val="002A384B"/>
    <w:rsid w:val="002A6727"/>
    <w:rsid w:val="002A6921"/>
    <w:rsid w:val="002A69B3"/>
    <w:rsid w:val="002A7121"/>
    <w:rsid w:val="002A713D"/>
    <w:rsid w:val="002B0CCA"/>
    <w:rsid w:val="002B2698"/>
    <w:rsid w:val="002B38DE"/>
    <w:rsid w:val="002B3B27"/>
    <w:rsid w:val="002B3F9F"/>
    <w:rsid w:val="002B6B8C"/>
    <w:rsid w:val="002C1393"/>
    <w:rsid w:val="002C21C0"/>
    <w:rsid w:val="002C224F"/>
    <w:rsid w:val="002C2E35"/>
    <w:rsid w:val="002C3E38"/>
    <w:rsid w:val="002C4797"/>
    <w:rsid w:val="002C566E"/>
    <w:rsid w:val="002C5C46"/>
    <w:rsid w:val="002C637D"/>
    <w:rsid w:val="002C6C9D"/>
    <w:rsid w:val="002D20A1"/>
    <w:rsid w:val="002D35FA"/>
    <w:rsid w:val="002D3AB0"/>
    <w:rsid w:val="002D44BC"/>
    <w:rsid w:val="002D52DE"/>
    <w:rsid w:val="002D778C"/>
    <w:rsid w:val="002D7CD9"/>
    <w:rsid w:val="002E0612"/>
    <w:rsid w:val="002E06A2"/>
    <w:rsid w:val="002E185D"/>
    <w:rsid w:val="002E1C76"/>
    <w:rsid w:val="002E33FF"/>
    <w:rsid w:val="002E36AB"/>
    <w:rsid w:val="002E3C69"/>
    <w:rsid w:val="002E4565"/>
    <w:rsid w:val="002E5017"/>
    <w:rsid w:val="002E61F6"/>
    <w:rsid w:val="002E7A3D"/>
    <w:rsid w:val="002E7ADE"/>
    <w:rsid w:val="002F335D"/>
    <w:rsid w:val="002F5070"/>
    <w:rsid w:val="002F578F"/>
    <w:rsid w:val="002F6257"/>
    <w:rsid w:val="002F7804"/>
    <w:rsid w:val="003003A5"/>
    <w:rsid w:val="003003BB"/>
    <w:rsid w:val="00300AF9"/>
    <w:rsid w:val="003018CD"/>
    <w:rsid w:val="003025FE"/>
    <w:rsid w:val="00303E9D"/>
    <w:rsid w:val="00304918"/>
    <w:rsid w:val="00304BB6"/>
    <w:rsid w:val="003050E7"/>
    <w:rsid w:val="00305853"/>
    <w:rsid w:val="00307442"/>
    <w:rsid w:val="0031110D"/>
    <w:rsid w:val="0031292B"/>
    <w:rsid w:val="00312A49"/>
    <w:rsid w:val="00312D17"/>
    <w:rsid w:val="00312E78"/>
    <w:rsid w:val="00313179"/>
    <w:rsid w:val="00313C7B"/>
    <w:rsid w:val="00315FCA"/>
    <w:rsid w:val="00316561"/>
    <w:rsid w:val="0031745A"/>
    <w:rsid w:val="003207B4"/>
    <w:rsid w:val="003238D9"/>
    <w:rsid w:val="0032514D"/>
    <w:rsid w:val="00325191"/>
    <w:rsid w:val="00325D72"/>
    <w:rsid w:val="00326852"/>
    <w:rsid w:val="00326D9D"/>
    <w:rsid w:val="00326E08"/>
    <w:rsid w:val="00326F32"/>
    <w:rsid w:val="003274E9"/>
    <w:rsid w:val="003277C2"/>
    <w:rsid w:val="003303BE"/>
    <w:rsid w:val="00330D74"/>
    <w:rsid w:val="00331AF8"/>
    <w:rsid w:val="0033230C"/>
    <w:rsid w:val="003326E2"/>
    <w:rsid w:val="003369AA"/>
    <w:rsid w:val="00336E78"/>
    <w:rsid w:val="00337C4C"/>
    <w:rsid w:val="00337EC6"/>
    <w:rsid w:val="00340618"/>
    <w:rsid w:val="00340A74"/>
    <w:rsid w:val="00340C5B"/>
    <w:rsid w:val="00340E37"/>
    <w:rsid w:val="003418A6"/>
    <w:rsid w:val="0034206A"/>
    <w:rsid w:val="00342A17"/>
    <w:rsid w:val="00343349"/>
    <w:rsid w:val="00343E9B"/>
    <w:rsid w:val="0034577F"/>
    <w:rsid w:val="00346906"/>
    <w:rsid w:val="00346949"/>
    <w:rsid w:val="00346F39"/>
    <w:rsid w:val="00347426"/>
    <w:rsid w:val="00351263"/>
    <w:rsid w:val="003514B9"/>
    <w:rsid w:val="0035166C"/>
    <w:rsid w:val="00351812"/>
    <w:rsid w:val="00353ABC"/>
    <w:rsid w:val="00355630"/>
    <w:rsid w:val="0035625B"/>
    <w:rsid w:val="00356A93"/>
    <w:rsid w:val="00356BC5"/>
    <w:rsid w:val="00356F1A"/>
    <w:rsid w:val="00357FC4"/>
    <w:rsid w:val="0036057C"/>
    <w:rsid w:val="003631C2"/>
    <w:rsid w:val="00363387"/>
    <w:rsid w:val="003633D3"/>
    <w:rsid w:val="00363F67"/>
    <w:rsid w:val="00364089"/>
    <w:rsid w:val="003712DD"/>
    <w:rsid w:val="00373ADD"/>
    <w:rsid w:val="003746C6"/>
    <w:rsid w:val="00375C31"/>
    <w:rsid w:val="003762E8"/>
    <w:rsid w:val="0037663B"/>
    <w:rsid w:val="003767C4"/>
    <w:rsid w:val="00377948"/>
    <w:rsid w:val="00380917"/>
    <w:rsid w:val="00382D21"/>
    <w:rsid w:val="00383001"/>
    <w:rsid w:val="0038309C"/>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2855"/>
    <w:rsid w:val="003A3739"/>
    <w:rsid w:val="003A4EBF"/>
    <w:rsid w:val="003A51C5"/>
    <w:rsid w:val="003A5A30"/>
    <w:rsid w:val="003A603F"/>
    <w:rsid w:val="003A71E2"/>
    <w:rsid w:val="003A76F7"/>
    <w:rsid w:val="003A7BEB"/>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CB4"/>
    <w:rsid w:val="003D3FC3"/>
    <w:rsid w:val="003D51EB"/>
    <w:rsid w:val="003D56C1"/>
    <w:rsid w:val="003D5F88"/>
    <w:rsid w:val="003D6252"/>
    <w:rsid w:val="003D6583"/>
    <w:rsid w:val="003E1945"/>
    <w:rsid w:val="003E1DAA"/>
    <w:rsid w:val="003E1E1E"/>
    <w:rsid w:val="003E2789"/>
    <w:rsid w:val="003E31C9"/>
    <w:rsid w:val="003E3580"/>
    <w:rsid w:val="003E3A89"/>
    <w:rsid w:val="003E41F4"/>
    <w:rsid w:val="003E6624"/>
    <w:rsid w:val="003E66C9"/>
    <w:rsid w:val="003F0A27"/>
    <w:rsid w:val="003F1E0F"/>
    <w:rsid w:val="003F1F74"/>
    <w:rsid w:val="003F362E"/>
    <w:rsid w:val="003F3EF9"/>
    <w:rsid w:val="003F44BB"/>
    <w:rsid w:val="003F55D9"/>
    <w:rsid w:val="003F6224"/>
    <w:rsid w:val="003F65E9"/>
    <w:rsid w:val="00400358"/>
    <w:rsid w:val="0040073A"/>
    <w:rsid w:val="00400D81"/>
    <w:rsid w:val="004027AF"/>
    <w:rsid w:val="00402D92"/>
    <w:rsid w:val="004031FE"/>
    <w:rsid w:val="0040335F"/>
    <w:rsid w:val="00404499"/>
    <w:rsid w:val="004046A0"/>
    <w:rsid w:val="00404884"/>
    <w:rsid w:val="0040655A"/>
    <w:rsid w:val="004068A9"/>
    <w:rsid w:val="00407888"/>
    <w:rsid w:val="00411196"/>
    <w:rsid w:val="00411448"/>
    <w:rsid w:val="004139D0"/>
    <w:rsid w:val="00413A7B"/>
    <w:rsid w:val="00413C9B"/>
    <w:rsid w:val="00413DA9"/>
    <w:rsid w:val="0041497B"/>
    <w:rsid w:val="00417203"/>
    <w:rsid w:val="00417A1F"/>
    <w:rsid w:val="00420B00"/>
    <w:rsid w:val="004213CE"/>
    <w:rsid w:val="004216F5"/>
    <w:rsid w:val="00422120"/>
    <w:rsid w:val="00422928"/>
    <w:rsid w:val="00425F0B"/>
    <w:rsid w:val="00427958"/>
    <w:rsid w:val="004307E5"/>
    <w:rsid w:val="00431F05"/>
    <w:rsid w:val="00433B4D"/>
    <w:rsid w:val="00435570"/>
    <w:rsid w:val="004421E6"/>
    <w:rsid w:val="00442915"/>
    <w:rsid w:val="004434E7"/>
    <w:rsid w:val="00445F7E"/>
    <w:rsid w:val="00450B16"/>
    <w:rsid w:val="004514AD"/>
    <w:rsid w:val="00452C91"/>
    <w:rsid w:val="00453506"/>
    <w:rsid w:val="0045691D"/>
    <w:rsid w:val="00457720"/>
    <w:rsid w:val="00460B94"/>
    <w:rsid w:val="00461FE0"/>
    <w:rsid w:val="0046438E"/>
    <w:rsid w:val="0046492B"/>
    <w:rsid w:val="004656BA"/>
    <w:rsid w:val="00465D5A"/>
    <w:rsid w:val="00466294"/>
    <w:rsid w:val="004668A4"/>
    <w:rsid w:val="00466BBD"/>
    <w:rsid w:val="00466DD0"/>
    <w:rsid w:val="00470E30"/>
    <w:rsid w:val="00475508"/>
    <w:rsid w:val="00475B02"/>
    <w:rsid w:val="00477A57"/>
    <w:rsid w:val="00477C3A"/>
    <w:rsid w:val="00480EA2"/>
    <w:rsid w:val="00483071"/>
    <w:rsid w:val="00483515"/>
    <w:rsid w:val="0048411C"/>
    <w:rsid w:val="004860C9"/>
    <w:rsid w:val="004872E3"/>
    <w:rsid w:val="00487EE3"/>
    <w:rsid w:val="004905C4"/>
    <w:rsid w:val="004905EE"/>
    <w:rsid w:val="00490D39"/>
    <w:rsid w:val="004926BC"/>
    <w:rsid w:val="004934DF"/>
    <w:rsid w:val="00495473"/>
    <w:rsid w:val="00495D06"/>
    <w:rsid w:val="00495ED8"/>
    <w:rsid w:val="004971DD"/>
    <w:rsid w:val="004A03B6"/>
    <w:rsid w:val="004A172E"/>
    <w:rsid w:val="004A225D"/>
    <w:rsid w:val="004A3EBF"/>
    <w:rsid w:val="004B0590"/>
    <w:rsid w:val="004B42C0"/>
    <w:rsid w:val="004B4512"/>
    <w:rsid w:val="004B6401"/>
    <w:rsid w:val="004B6BF9"/>
    <w:rsid w:val="004B7680"/>
    <w:rsid w:val="004C0054"/>
    <w:rsid w:val="004C073C"/>
    <w:rsid w:val="004C1560"/>
    <w:rsid w:val="004C1BB5"/>
    <w:rsid w:val="004C4A23"/>
    <w:rsid w:val="004C59CC"/>
    <w:rsid w:val="004C6E62"/>
    <w:rsid w:val="004C7576"/>
    <w:rsid w:val="004D0CAF"/>
    <w:rsid w:val="004D13BC"/>
    <w:rsid w:val="004D143F"/>
    <w:rsid w:val="004D1539"/>
    <w:rsid w:val="004D5D8A"/>
    <w:rsid w:val="004D65A9"/>
    <w:rsid w:val="004D6986"/>
    <w:rsid w:val="004E04C2"/>
    <w:rsid w:val="004E0A68"/>
    <w:rsid w:val="004E27D6"/>
    <w:rsid w:val="004E2E07"/>
    <w:rsid w:val="004E49A9"/>
    <w:rsid w:val="004E586A"/>
    <w:rsid w:val="004E63B4"/>
    <w:rsid w:val="004F5138"/>
    <w:rsid w:val="004F53BD"/>
    <w:rsid w:val="004F54FF"/>
    <w:rsid w:val="004F5F50"/>
    <w:rsid w:val="004F6A07"/>
    <w:rsid w:val="004F786E"/>
    <w:rsid w:val="004F7883"/>
    <w:rsid w:val="004F7D00"/>
    <w:rsid w:val="005037A9"/>
    <w:rsid w:val="0050532C"/>
    <w:rsid w:val="005061DC"/>
    <w:rsid w:val="0051000C"/>
    <w:rsid w:val="005101FA"/>
    <w:rsid w:val="00510505"/>
    <w:rsid w:val="005112E1"/>
    <w:rsid w:val="00511A3B"/>
    <w:rsid w:val="00512715"/>
    <w:rsid w:val="00513554"/>
    <w:rsid w:val="00513845"/>
    <w:rsid w:val="00513862"/>
    <w:rsid w:val="005142DB"/>
    <w:rsid w:val="00514F6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173E"/>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B5D"/>
    <w:rsid w:val="00577CBE"/>
    <w:rsid w:val="005818AC"/>
    <w:rsid w:val="00581988"/>
    <w:rsid w:val="0058221A"/>
    <w:rsid w:val="00584BAE"/>
    <w:rsid w:val="00584C43"/>
    <w:rsid w:val="00585075"/>
    <w:rsid w:val="0058700C"/>
    <w:rsid w:val="00587A41"/>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0AC"/>
    <w:rsid w:val="005B47EE"/>
    <w:rsid w:val="005B4F8F"/>
    <w:rsid w:val="005B629D"/>
    <w:rsid w:val="005C00DA"/>
    <w:rsid w:val="005C0830"/>
    <w:rsid w:val="005C0A63"/>
    <w:rsid w:val="005C0FF9"/>
    <w:rsid w:val="005C2A8C"/>
    <w:rsid w:val="005C4352"/>
    <w:rsid w:val="005C5AE7"/>
    <w:rsid w:val="005D0C3E"/>
    <w:rsid w:val="005D1644"/>
    <w:rsid w:val="005D190C"/>
    <w:rsid w:val="005D2344"/>
    <w:rsid w:val="005D2A83"/>
    <w:rsid w:val="005D34AC"/>
    <w:rsid w:val="005D46F0"/>
    <w:rsid w:val="005D61FE"/>
    <w:rsid w:val="005D76B7"/>
    <w:rsid w:val="005E0DAC"/>
    <w:rsid w:val="005E0F19"/>
    <w:rsid w:val="005E1968"/>
    <w:rsid w:val="005E3A75"/>
    <w:rsid w:val="005E6AC3"/>
    <w:rsid w:val="005E73B2"/>
    <w:rsid w:val="005F2430"/>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4E2C"/>
    <w:rsid w:val="00636530"/>
    <w:rsid w:val="006403B9"/>
    <w:rsid w:val="00640BEC"/>
    <w:rsid w:val="00640DB7"/>
    <w:rsid w:val="00641266"/>
    <w:rsid w:val="0064184E"/>
    <w:rsid w:val="00642A3E"/>
    <w:rsid w:val="00644DC2"/>
    <w:rsid w:val="00645601"/>
    <w:rsid w:val="006456C2"/>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5001"/>
    <w:rsid w:val="006763DA"/>
    <w:rsid w:val="006767D6"/>
    <w:rsid w:val="00676C3F"/>
    <w:rsid w:val="00680680"/>
    <w:rsid w:val="00683119"/>
    <w:rsid w:val="006903AA"/>
    <w:rsid w:val="006914B2"/>
    <w:rsid w:val="00691C77"/>
    <w:rsid w:val="00692159"/>
    <w:rsid w:val="006956AF"/>
    <w:rsid w:val="00697850"/>
    <w:rsid w:val="006A042A"/>
    <w:rsid w:val="006A0831"/>
    <w:rsid w:val="006A0D85"/>
    <w:rsid w:val="006A2755"/>
    <w:rsid w:val="006A33BC"/>
    <w:rsid w:val="006A3AA1"/>
    <w:rsid w:val="006A5BED"/>
    <w:rsid w:val="006A6D98"/>
    <w:rsid w:val="006A7341"/>
    <w:rsid w:val="006A7D29"/>
    <w:rsid w:val="006B023C"/>
    <w:rsid w:val="006B0BD7"/>
    <w:rsid w:val="006B262A"/>
    <w:rsid w:val="006B3547"/>
    <w:rsid w:val="006B3B23"/>
    <w:rsid w:val="006B5F7A"/>
    <w:rsid w:val="006B690F"/>
    <w:rsid w:val="006B715A"/>
    <w:rsid w:val="006C1C31"/>
    <w:rsid w:val="006C3DF4"/>
    <w:rsid w:val="006C4573"/>
    <w:rsid w:val="006C497E"/>
    <w:rsid w:val="006C4FD5"/>
    <w:rsid w:val="006D0341"/>
    <w:rsid w:val="006D0410"/>
    <w:rsid w:val="006D1E86"/>
    <w:rsid w:val="006D211F"/>
    <w:rsid w:val="006D2F72"/>
    <w:rsid w:val="006D5D54"/>
    <w:rsid w:val="006D6F04"/>
    <w:rsid w:val="006E046C"/>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4A1E"/>
    <w:rsid w:val="006F6A9E"/>
    <w:rsid w:val="006F7ED0"/>
    <w:rsid w:val="00701524"/>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252"/>
    <w:rsid w:val="00717E7C"/>
    <w:rsid w:val="00720AE8"/>
    <w:rsid w:val="007222AE"/>
    <w:rsid w:val="00723BE1"/>
    <w:rsid w:val="0072528B"/>
    <w:rsid w:val="007254E1"/>
    <w:rsid w:val="00727EC6"/>
    <w:rsid w:val="00730940"/>
    <w:rsid w:val="00730BE0"/>
    <w:rsid w:val="007310F8"/>
    <w:rsid w:val="00731E66"/>
    <w:rsid w:val="007321D8"/>
    <w:rsid w:val="0073462B"/>
    <w:rsid w:val="00736760"/>
    <w:rsid w:val="00736EE0"/>
    <w:rsid w:val="00741C35"/>
    <w:rsid w:val="00741C46"/>
    <w:rsid w:val="007424D9"/>
    <w:rsid w:val="00742B9D"/>
    <w:rsid w:val="0074450C"/>
    <w:rsid w:val="00744FE7"/>
    <w:rsid w:val="00744FF9"/>
    <w:rsid w:val="00746A3D"/>
    <w:rsid w:val="00747B5C"/>
    <w:rsid w:val="00751E81"/>
    <w:rsid w:val="00752C4B"/>
    <w:rsid w:val="00753A12"/>
    <w:rsid w:val="00753F68"/>
    <w:rsid w:val="007563BD"/>
    <w:rsid w:val="007568EC"/>
    <w:rsid w:val="00756F4B"/>
    <w:rsid w:val="00761F75"/>
    <w:rsid w:val="007621F9"/>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8D8"/>
    <w:rsid w:val="0077793E"/>
    <w:rsid w:val="00781A80"/>
    <w:rsid w:val="0078246F"/>
    <w:rsid w:val="00786995"/>
    <w:rsid w:val="0079253D"/>
    <w:rsid w:val="007927DC"/>
    <w:rsid w:val="007A11E1"/>
    <w:rsid w:val="007A1469"/>
    <w:rsid w:val="007A302B"/>
    <w:rsid w:val="007A357E"/>
    <w:rsid w:val="007A39D2"/>
    <w:rsid w:val="007A4AE2"/>
    <w:rsid w:val="007A4ED9"/>
    <w:rsid w:val="007A58CF"/>
    <w:rsid w:val="007A6723"/>
    <w:rsid w:val="007A7009"/>
    <w:rsid w:val="007A7039"/>
    <w:rsid w:val="007A7614"/>
    <w:rsid w:val="007A7930"/>
    <w:rsid w:val="007A7C3A"/>
    <w:rsid w:val="007B04E9"/>
    <w:rsid w:val="007B14C5"/>
    <w:rsid w:val="007B229F"/>
    <w:rsid w:val="007B4BE7"/>
    <w:rsid w:val="007B66F1"/>
    <w:rsid w:val="007B6987"/>
    <w:rsid w:val="007C0A61"/>
    <w:rsid w:val="007C0FCA"/>
    <w:rsid w:val="007C25F6"/>
    <w:rsid w:val="007C270D"/>
    <w:rsid w:val="007C27B1"/>
    <w:rsid w:val="007C2CE4"/>
    <w:rsid w:val="007C2FD9"/>
    <w:rsid w:val="007C51B0"/>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E5EAF"/>
    <w:rsid w:val="007F3017"/>
    <w:rsid w:val="007F35BC"/>
    <w:rsid w:val="007F4B90"/>
    <w:rsid w:val="007F589B"/>
    <w:rsid w:val="007F5E12"/>
    <w:rsid w:val="007F711C"/>
    <w:rsid w:val="00800124"/>
    <w:rsid w:val="008004E3"/>
    <w:rsid w:val="00800695"/>
    <w:rsid w:val="00801A6E"/>
    <w:rsid w:val="00801EDD"/>
    <w:rsid w:val="00802628"/>
    <w:rsid w:val="00802986"/>
    <w:rsid w:val="0080390D"/>
    <w:rsid w:val="008048FD"/>
    <w:rsid w:val="008056F7"/>
    <w:rsid w:val="00805F19"/>
    <w:rsid w:val="0080601C"/>
    <w:rsid w:val="00806315"/>
    <w:rsid w:val="0080761E"/>
    <w:rsid w:val="00807A14"/>
    <w:rsid w:val="00807EE6"/>
    <w:rsid w:val="008112BE"/>
    <w:rsid w:val="00811CEF"/>
    <w:rsid w:val="00811D49"/>
    <w:rsid w:val="0081290D"/>
    <w:rsid w:val="00812BB5"/>
    <w:rsid w:val="00812DAD"/>
    <w:rsid w:val="00813D48"/>
    <w:rsid w:val="008140F5"/>
    <w:rsid w:val="008143FD"/>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59D2"/>
    <w:rsid w:val="00846D44"/>
    <w:rsid w:val="008527B5"/>
    <w:rsid w:val="008540C3"/>
    <w:rsid w:val="00856109"/>
    <w:rsid w:val="00856237"/>
    <w:rsid w:val="00856668"/>
    <w:rsid w:val="00857795"/>
    <w:rsid w:val="00860C2C"/>
    <w:rsid w:val="008639F5"/>
    <w:rsid w:val="0086515C"/>
    <w:rsid w:val="008666C1"/>
    <w:rsid w:val="00867B20"/>
    <w:rsid w:val="008713B4"/>
    <w:rsid w:val="00871880"/>
    <w:rsid w:val="00871F10"/>
    <w:rsid w:val="00872089"/>
    <w:rsid w:val="0087373C"/>
    <w:rsid w:val="00876BE3"/>
    <w:rsid w:val="00877102"/>
    <w:rsid w:val="008800B4"/>
    <w:rsid w:val="00881E23"/>
    <w:rsid w:val="0088205A"/>
    <w:rsid w:val="00883D0F"/>
    <w:rsid w:val="00890459"/>
    <w:rsid w:val="00891D2A"/>
    <w:rsid w:val="00892E97"/>
    <w:rsid w:val="0089314C"/>
    <w:rsid w:val="00894AFD"/>
    <w:rsid w:val="00896294"/>
    <w:rsid w:val="008967A5"/>
    <w:rsid w:val="008A0529"/>
    <w:rsid w:val="008A069B"/>
    <w:rsid w:val="008A0D7D"/>
    <w:rsid w:val="008A0F97"/>
    <w:rsid w:val="008A2A4A"/>
    <w:rsid w:val="008A3565"/>
    <w:rsid w:val="008A3FAE"/>
    <w:rsid w:val="008A406F"/>
    <w:rsid w:val="008A4A6C"/>
    <w:rsid w:val="008A4F90"/>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1F3B"/>
    <w:rsid w:val="008C20B7"/>
    <w:rsid w:val="008C23B6"/>
    <w:rsid w:val="008C2CB8"/>
    <w:rsid w:val="008C2D42"/>
    <w:rsid w:val="008C368A"/>
    <w:rsid w:val="008C3EB9"/>
    <w:rsid w:val="008D0932"/>
    <w:rsid w:val="008D10DC"/>
    <w:rsid w:val="008D192E"/>
    <w:rsid w:val="008D3297"/>
    <w:rsid w:val="008D34D0"/>
    <w:rsid w:val="008D378F"/>
    <w:rsid w:val="008D3F8C"/>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0E35"/>
    <w:rsid w:val="009053EB"/>
    <w:rsid w:val="00906693"/>
    <w:rsid w:val="00906A73"/>
    <w:rsid w:val="00906A90"/>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30461"/>
    <w:rsid w:val="00930793"/>
    <w:rsid w:val="00930B29"/>
    <w:rsid w:val="00932120"/>
    <w:rsid w:val="00932277"/>
    <w:rsid w:val="00932E3C"/>
    <w:rsid w:val="009334B7"/>
    <w:rsid w:val="00934CED"/>
    <w:rsid w:val="00935D09"/>
    <w:rsid w:val="00935E0E"/>
    <w:rsid w:val="00937D2D"/>
    <w:rsid w:val="0094124F"/>
    <w:rsid w:val="00941491"/>
    <w:rsid w:val="00941851"/>
    <w:rsid w:val="009424E0"/>
    <w:rsid w:val="00943CF1"/>
    <w:rsid w:val="00943F16"/>
    <w:rsid w:val="00944491"/>
    <w:rsid w:val="00944664"/>
    <w:rsid w:val="00944E7A"/>
    <w:rsid w:val="00946456"/>
    <w:rsid w:val="00946E85"/>
    <w:rsid w:val="00947372"/>
    <w:rsid w:val="00947ACD"/>
    <w:rsid w:val="0095058F"/>
    <w:rsid w:val="00950CCE"/>
    <w:rsid w:val="009518B2"/>
    <w:rsid w:val="009519BD"/>
    <w:rsid w:val="009521DF"/>
    <w:rsid w:val="00952A6A"/>
    <w:rsid w:val="00955129"/>
    <w:rsid w:val="00955194"/>
    <w:rsid w:val="00955D46"/>
    <w:rsid w:val="00956E9D"/>
    <w:rsid w:val="00961293"/>
    <w:rsid w:val="009612BC"/>
    <w:rsid w:val="0096212A"/>
    <w:rsid w:val="009640FE"/>
    <w:rsid w:val="00964F8C"/>
    <w:rsid w:val="00965961"/>
    <w:rsid w:val="00967243"/>
    <w:rsid w:val="00967313"/>
    <w:rsid w:val="00967BAC"/>
    <w:rsid w:val="0097029E"/>
    <w:rsid w:val="00972EB6"/>
    <w:rsid w:val="009754D8"/>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0A1F"/>
    <w:rsid w:val="009A1333"/>
    <w:rsid w:val="009A1950"/>
    <w:rsid w:val="009A1B23"/>
    <w:rsid w:val="009A2EBB"/>
    <w:rsid w:val="009A36EE"/>
    <w:rsid w:val="009A46FE"/>
    <w:rsid w:val="009A4AA1"/>
    <w:rsid w:val="009A60C4"/>
    <w:rsid w:val="009A668C"/>
    <w:rsid w:val="009A7180"/>
    <w:rsid w:val="009B16AD"/>
    <w:rsid w:val="009B1B63"/>
    <w:rsid w:val="009B280A"/>
    <w:rsid w:val="009B30D7"/>
    <w:rsid w:val="009B35D2"/>
    <w:rsid w:val="009B3C3F"/>
    <w:rsid w:val="009B3FDB"/>
    <w:rsid w:val="009B4A6E"/>
    <w:rsid w:val="009B5008"/>
    <w:rsid w:val="009B5713"/>
    <w:rsid w:val="009B5BD3"/>
    <w:rsid w:val="009B616F"/>
    <w:rsid w:val="009B67FE"/>
    <w:rsid w:val="009B7531"/>
    <w:rsid w:val="009B7F10"/>
    <w:rsid w:val="009C0AC4"/>
    <w:rsid w:val="009C177E"/>
    <w:rsid w:val="009C17EB"/>
    <w:rsid w:val="009C3CAF"/>
    <w:rsid w:val="009C5917"/>
    <w:rsid w:val="009C65D7"/>
    <w:rsid w:val="009C6D5B"/>
    <w:rsid w:val="009D0BE6"/>
    <w:rsid w:val="009D1ABC"/>
    <w:rsid w:val="009D2B67"/>
    <w:rsid w:val="009D2D64"/>
    <w:rsid w:val="009D565C"/>
    <w:rsid w:val="009E2A01"/>
    <w:rsid w:val="009E2F69"/>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1F87"/>
    <w:rsid w:val="00A037DA"/>
    <w:rsid w:val="00A04D40"/>
    <w:rsid w:val="00A07D73"/>
    <w:rsid w:val="00A10886"/>
    <w:rsid w:val="00A10ED7"/>
    <w:rsid w:val="00A12DA0"/>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1B8"/>
    <w:rsid w:val="00A43A40"/>
    <w:rsid w:val="00A43AB3"/>
    <w:rsid w:val="00A46DAC"/>
    <w:rsid w:val="00A53568"/>
    <w:rsid w:val="00A53990"/>
    <w:rsid w:val="00A55018"/>
    <w:rsid w:val="00A552F2"/>
    <w:rsid w:val="00A55B76"/>
    <w:rsid w:val="00A56A39"/>
    <w:rsid w:val="00A5753E"/>
    <w:rsid w:val="00A6014C"/>
    <w:rsid w:val="00A6212A"/>
    <w:rsid w:val="00A6237A"/>
    <w:rsid w:val="00A65910"/>
    <w:rsid w:val="00A67CB4"/>
    <w:rsid w:val="00A710F8"/>
    <w:rsid w:val="00A758B2"/>
    <w:rsid w:val="00A75C68"/>
    <w:rsid w:val="00A824FB"/>
    <w:rsid w:val="00A835BA"/>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488C"/>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462"/>
    <w:rsid w:val="00AC263C"/>
    <w:rsid w:val="00AC2DE3"/>
    <w:rsid w:val="00AC397D"/>
    <w:rsid w:val="00AC41F3"/>
    <w:rsid w:val="00AC786E"/>
    <w:rsid w:val="00AC7EC2"/>
    <w:rsid w:val="00AD00CD"/>
    <w:rsid w:val="00AD162A"/>
    <w:rsid w:val="00AD2102"/>
    <w:rsid w:val="00AD264E"/>
    <w:rsid w:val="00AD345B"/>
    <w:rsid w:val="00AD45D7"/>
    <w:rsid w:val="00AD4CCA"/>
    <w:rsid w:val="00AD5851"/>
    <w:rsid w:val="00AD6388"/>
    <w:rsid w:val="00AE131B"/>
    <w:rsid w:val="00AE14E4"/>
    <w:rsid w:val="00AE2800"/>
    <w:rsid w:val="00AE498A"/>
    <w:rsid w:val="00AE4D17"/>
    <w:rsid w:val="00AE690C"/>
    <w:rsid w:val="00AE69F0"/>
    <w:rsid w:val="00AE6DA0"/>
    <w:rsid w:val="00AE7A62"/>
    <w:rsid w:val="00AF02BF"/>
    <w:rsid w:val="00AF0741"/>
    <w:rsid w:val="00AF145F"/>
    <w:rsid w:val="00AF50A9"/>
    <w:rsid w:val="00AF5212"/>
    <w:rsid w:val="00AF6C29"/>
    <w:rsid w:val="00AF725B"/>
    <w:rsid w:val="00AF7866"/>
    <w:rsid w:val="00AF7BC8"/>
    <w:rsid w:val="00B0027B"/>
    <w:rsid w:val="00B0057D"/>
    <w:rsid w:val="00B010DC"/>
    <w:rsid w:val="00B0147C"/>
    <w:rsid w:val="00B02024"/>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3C6"/>
    <w:rsid w:val="00B356A5"/>
    <w:rsid w:val="00B3609C"/>
    <w:rsid w:val="00B36841"/>
    <w:rsid w:val="00B41C7F"/>
    <w:rsid w:val="00B41EED"/>
    <w:rsid w:val="00B42A68"/>
    <w:rsid w:val="00B43C1A"/>
    <w:rsid w:val="00B4674A"/>
    <w:rsid w:val="00B47397"/>
    <w:rsid w:val="00B51D11"/>
    <w:rsid w:val="00B533DF"/>
    <w:rsid w:val="00B53A2E"/>
    <w:rsid w:val="00B53BC1"/>
    <w:rsid w:val="00B53C03"/>
    <w:rsid w:val="00B53CDF"/>
    <w:rsid w:val="00B56492"/>
    <w:rsid w:val="00B5682A"/>
    <w:rsid w:val="00B57ED8"/>
    <w:rsid w:val="00B633EE"/>
    <w:rsid w:val="00B640FA"/>
    <w:rsid w:val="00B643C1"/>
    <w:rsid w:val="00B64CC4"/>
    <w:rsid w:val="00B64F6A"/>
    <w:rsid w:val="00B7016C"/>
    <w:rsid w:val="00B7157B"/>
    <w:rsid w:val="00B715A9"/>
    <w:rsid w:val="00B74BF2"/>
    <w:rsid w:val="00B75192"/>
    <w:rsid w:val="00B75C0A"/>
    <w:rsid w:val="00B75C48"/>
    <w:rsid w:val="00B772AF"/>
    <w:rsid w:val="00B80662"/>
    <w:rsid w:val="00B81F1F"/>
    <w:rsid w:val="00B82461"/>
    <w:rsid w:val="00B82671"/>
    <w:rsid w:val="00B8268F"/>
    <w:rsid w:val="00B83F18"/>
    <w:rsid w:val="00B85060"/>
    <w:rsid w:val="00B90E8D"/>
    <w:rsid w:val="00B91E31"/>
    <w:rsid w:val="00B93954"/>
    <w:rsid w:val="00B94B1F"/>
    <w:rsid w:val="00B955C8"/>
    <w:rsid w:val="00B95CA6"/>
    <w:rsid w:val="00BA0C1F"/>
    <w:rsid w:val="00BA2BE6"/>
    <w:rsid w:val="00BA470F"/>
    <w:rsid w:val="00BA5DC9"/>
    <w:rsid w:val="00BA6024"/>
    <w:rsid w:val="00BA7037"/>
    <w:rsid w:val="00BA7DAD"/>
    <w:rsid w:val="00BB0128"/>
    <w:rsid w:val="00BB1260"/>
    <w:rsid w:val="00BB2555"/>
    <w:rsid w:val="00BB5594"/>
    <w:rsid w:val="00BB604F"/>
    <w:rsid w:val="00BB6268"/>
    <w:rsid w:val="00BB7786"/>
    <w:rsid w:val="00BC0ED2"/>
    <w:rsid w:val="00BC29C4"/>
    <w:rsid w:val="00BC4314"/>
    <w:rsid w:val="00BC4A41"/>
    <w:rsid w:val="00BC6C90"/>
    <w:rsid w:val="00BC6D8C"/>
    <w:rsid w:val="00BD097C"/>
    <w:rsid w:val="00BD1C57"/>
    <w:rsid w:val="00BD28AF"/>
    <w:rsid w:val="00BD351F"/>
    <w:rsid w:val="00BD3599"/>
    <w:rsid w:val="00BD382E"/>
    <w:rsid w:val="00BD39ED"/>
    <w:rsid w:val="00BD4484"/>
    <w:rsid w:val="00BD4F8A"/>
    <w:rsid w:val="00BD667F"/>
    <w:rsid w:val="00BD6AC7"/>
    <w:rsid w:val="00BD6E2C"/>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0D7"/>
    <w:rsid w:val="00BF418D"/>
    <w:rsid w:val="00BF583D"/>
    <w:rsid w:val="00BF5D25"/>
    <w:rsid w:val="00BF7B79"/>
    <w:rsid w:val="00C0079D"/>
    <w:rsid w:val="00C00E2E"/>
    <w:rsid w:val="00C0102E"/>
    <w:rsid w:val="00C01F74"/>
    <w:rsid w:val="00C03ED6"/>
    <w:rsid w:val="00C04E37"/>
    <w:rsid w:val="00C05F0F"/>
    <w:rsid w:val="00C07B32"/>
    <w:rsid w:val="00C07F27"/>
    <w:rsid w:val="00C1048F"/>
    <w:rsid w:val="00C117D9"/>
    <w:rsid w:val="00C1397B"/>
    <w:rsid w:val="00C1409F"/>
    <w:rsid w:val="00C1480B"/>
    <w:rsid w:val="00C1527C"/>
    <w:rsid w:val="00C15307"/>
    <w:rsid w:val="00C15A43"/>
    <w:rsid w:val="00C15F7E"/>
    <w:rsid w:val="00C17613"/>
    <w:rsid w:val="00C17636"/>
    <w:rsid w:val="00C17DB6"/>
    <w:rsid w:val="00C20D44"/>
    <w:rsid w:val="00C225E1"/>
    <w:rsid w:val="00C227D2"/>
    <w:rsid w:val="00C22CA3"/>
    <w:rsid w:val="00C24DD1"/>
    <w:rsid w:val="00C26300"/>
    <w:rsid w:val="00C26C5A"/>
    <w:rsid w:val="00C270B6"/>
    <w:rsid w:val="00C2753F"/>
    <w:rsid w:val="00C2790C"/>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0E3"/>
    <w:rsid w:val="00C53632"/>
    <w:rsid w:val="00C5364D"/>
    <w:rsid w:val="00C5739A"/>
    <w:rsid w:val="00C57A25"/>
    <w:rsid w:val="00C6023A"/>
    <w:rsid w:val="00C63303"/>
    <w:rsid w:val="00C65658"/>
    <w:rsid w:val="00C67B68"/>
    <w:rsid w:val="00C67F2A"/>
    <w:rsid w:val="00C7116C"/>
    <w:rsid w:val="00C7231B"/>
    <w:rsid w:val="00C744E2"/>
    <w:rsid w:val="00C74CF6"/>
    <w:rsid w:val="00C76893"/>
    <w:rsid w:val="00C76F13"/>
    <w:rsid w:val="00C77EF5"/>
    <w:rsid w:val="00C80385"/>
    <w:rsid w:val="00C81175"/>
    <w:rsid w:val="00C818CE"/>
    <w:rsid w:val="00C82030"/>
    <w:rsid w:val="00C85106"/>
    <w:rsid w:val="00C86805"/>
    <w:rsid w:val="00C86A3C"/>
    <w:rsid w:val="00C878D3"/>
    <w:rsid w:val="00C901F3"/>
    <w:rsid w:val="00C9039B"/>
    <w:rsid w:val="00C906F3"/>
    <w:rsid w:val="00C92686"/>
    <w:rsid w:val="00C9306D"/>
    <w:rsid w:val="00C93267"/>
    <w:rsid w:val="00CA011A"/>
    <w:rsid w:val="00CA0418"/>
    <w:rsid w:val="00CA0A75"/>
    <w:rsid w:val="00CA1BFF"/>
    <w:rsid w:val="00CA205D"/>
    <w:rsid w:val="00CA3BC2"/>
    <w:rsid w:val="00CA49E1"/>
    <w:rsid w:val="00CA4EAE"/>
    <w:rsid w:val="00CA5248"/>
    <w:rsid w:val="00CA63ED"/>
    <w:rsid w:val="00CA677B"/>
    <w:rsid w:val="00CA684E"/>
    <w:rsid w:val="00CA69F8"/>
    <w:rsid w:val="00CA6E06"/>
    <w:rsid w:val="00CB0317"/>
    <w:rsid w:val="00CB0D24"/>
    <w:rsid w:val="00CB4333"/>
    <w:rsid w:val="00CC0BF6"/>
    <w:rsid w:val="00CC1BCB"/>
    <w:rsid w:val="00CC248E"/>
    <w:rsid w:val="00CC2987"/>
    <w:rsid w:val="00CC2D75"/>
    <w:rsid w:val="00CC3423"/>
    <w:rsid w:val="00CC3B27"/>
    <w:rsid w:val="00CC40FA"/>
    <w:rsid w:val="00CC557C"/>
    <w:rsid w:val="00CC5587"/>
    <w:rsid w:val="00CC56DA"/>
    <w:rsid w:val="00CC56E4"/>
    <w:rsid w:val="00CC6F9F"/>
    <w:rsid w:val="00CD1B49"/>
    <w:rsid w:val="00CD26FA"/>
    <w:rsid w:val="00CD35B6"/>
    <w:rsid w:val="00CD4147"/>
    <w:rsid w:val="00CD5A86"/>
    <w:rsid w:val="00CD5CE6"/>
    <w:rsid w:val="00CD6A97"/>
    <w:rsid w:val="00CD6BA9"/>
    <w:rsid w:val="00CE00BD"/>
    <w:rsid w:val="00CE021A"/>
    <w:rsid w:val="00CE292F"/>
    <w:rsid w:val="00CE3BFE"/>
    <w:rsid w:val="00CE3C94"/>
    <w:rsid w:val="00CE5626"/>
    <w:rsid w:val="00CE57A5"/>
    <w:rsid w:val="00CE755A"/>
    <w:rsid w:val="00CE7583"/>
    <w:rsid w:val="00CE7EC3"/>
    <w:rsid w:val="00CF10FF"/>
    <w:rsid w:val="00CF20F6"/>
    <w:rsid w:val="00CF312B"/>
    <w:rsid w:val="00CF5F6F"/>
    <w:rsid w:val="00CF7148"/>
    <w:rsid w:val="00CF7BCD"/>
    <w:rsid w:val="00CF7E4E"/>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1738B"/>
    <w:rsid w:val="00D2084B"/>
    <w:rsid w:val="00D248DB"/>
    <w:rsid w:val="00D24CDD"/>
    <w:rsid w:val="00D251D4"/>
    <w:rsid w:val="00D25C27"/>
    <w:rsid w:val="00D26F09"/>
    <w:rsid w:val="00D274DF"/>
    <w:rsid w:val="00D275C7"/>
    <w:rsid w:val="00D318C5"/>
    <w:rsid w:val="00D32729"/>
    <w:rsid w:val="00D340CC"/>
    <w:rsid w:val="00D36786"/>
    <w:rsid w:val="00D4220D"/>
    <w:rsid w:val="00D422DF"/>
    <w:rsid w:val="00D425CA"/>
    <w:rsid w:val="00D42EA1"/>
    <w:rsid w:val="00D4343A"/>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4DAE"/>
    <w:rsid w:val="00D57455"/>
    <w:rsid w:val="00D57F24"/>
    <w:rsid w:val="00D61E96"/>
    <w:rsid w:val="00D61F39"/>
    <w:rsid w:val="00D633C1"/>
    <w:rsid w:val="00D63624"/>
    <w:rsid w:val="00D64637"/>
    <w:rsid w:val="00D662B8"/>
    <w:rsid w:val="00D67F57"/>
    <w:rsid w:val="00D70F52"/>
    <w:rsid w:val="00D7134F"/>
    <w:rsid w:val="00D71BE7"/>
    <w:rsid w:val="00D71C4D"/>
    <w:rsid w:val="00D72571"/>
    <w:rsid w:val="00D72D22"/>
    <w:rsid w:val="00D73E00"/>
    <w:rsid w:val="00D758D8"/>
    <w:rsid w:val="00D774C0"/>
    <w:rsid w:val="00D80275"/>
    <w:rsid w:val="00D807C3"/>
    <w:rsid w:val="00D809E3"/>
    <w:rsid w:val="00D822FA"/>
    <w:rsid w:val="00D82441"/>
    <w:rsid w:val="00D83694"/>
    <w:rsid w:val="00D870AB"/>
    <w:rsid w:val="00D873D0"/>
    <w:rsid w:val="00D87C52"/>
    <w:rsid w:val="00D9002F"/>
    <w:rsid w:val="00D90831"/>
    <w:rsid w:val="00D917C5"/>
    <w:rsid w:val="00D92915"/>
    <w:rsid w:val="00D92BF3"/>
    <w:rsid w:val="00D939B7"/>
    <w:rsid w:val="00D962EA"/>
    <w:rsid w:val="00D96E58"/>
    <w:rsid w:val="00D97E11"/>
    <w:rsid w:val="00DA21EA"/>
    <w:rsid w:val="00DA22C7"/>
    <w:rsid w:val="00DA2663"/>
    <w:rsid w:val="00DA26DF"/>
    <w:rsid w:val="00DA378F"/>
    <w:rsid w:val="00DA3975"/>
    <w:rsid w:val="00DA4691"/>
    <w:rsid w:val="00DA6AE8"/>
    <w:rsid w:val="00DA6F0E"/>
    <w:rsid w:val="00DA77F4"/>
    <w:rsid w:val="00DA7975"/>
    <w:rsid w:val="00DA7EB8"/>
    <w:rsid w:val="00DB0373"/>
    <w:rsid w:val="00DB1872"/>
    <w:rsid w:val="00DB22F0"/>
    <w:rsid w:val="00DB543A"/>
    <w:rsid w:val="00DB586C"/>
    <w:rsid w:val="00DB6462"/>
    <w:rsid w:val="00DB7A8A"/>
    <w:rsid w:val="00DC1119"/>
    <w:rsid w:val="00DC3A5D"/>
    <w:rsid w:val="00DC3CED"/>
    <w:rsid w:val="00DC5519"/>
    <w:rsid w:val="00DC57F2"/>
    <w:rsid w:val="00DC656A"/>
    <w:rsid w:val="00DC7568"/>
    <w:rsid w:val="00DC7AF4"/>
    <w:rsid w:val="00DD0411"/>
    <w:rsid w:val="00DD0538"/>
    <w:rsid w:val="00DD17EC"/>
    <w:rsid w:val="00DD2219"/>
    <w:rsid w:val="00DD377F"/>
    <w:rsid w:val="00DD4ED5"/>
    <w:rsid w:val="00DD54EA"/>
    <w:rsid w:val="00DD55C6"/>
    <w:rsid w:val="00DE09CE"/>
    <w:rsid w:val="00DE1F69"/>
    <w:rsid w:val="00DE1FA2"/>
    <w:rsid w:val="00DE25DF"/>
    <w:rsid w:val="00DE36C6"/>
    <w:rsid w:val="00DE5103"/>
    <w:rsid w:val="00DE64D5"/>
    <w:rsid w:val="00DE7118"/>
    <w:rsid w:val="00DE7A78"/>
    <w:rsid w:val="00DF0394"/>
    <w:rsid w:val="00DF184C"/>
    <w:rsid w:val="00DF2F64"/>
    <w:rsid w:val="00DF557E"/>
    <w:rsid w:val="00DF578F"/>
    <w:rsid w:val="00DF5FA9"/>
    <w:rsid w:val="00E00F07"/>
    <w:rsid w:val="00E02CC6"/>
    <w:rsid w:val="00E043EC"/>
    <w:rsid w:val="00E04F78"/>
    <w:rsid w:val="00E04FE8"/>
    <w:rsid w:val="00E06753"/>
    <w:rsid w:val="00E06993"/>
    <w:rsid w:val="00E06BBD"/>
    <w:rsid w:val="00E123DD"/>
    <w:rsid w:val="00E12C97"/>
    <w:rsid w:val="00E131C9"/>
    <w:rsid w:val="00E132CE"/>
    <w:rsid w:val="00E1457C"/>
    <w:rsid w:val="00E15C40"/>
    <w:rsid w:val="00E166C0"/>
    <w:rsid w:val="00E167B7"/>
    <w:rsid w:val="00E16E48"/>
    <w:rsid w:val="00E20600"/>
    <w:rsid w:val="00E211BB"/>
    <w:rsid w:val="00E21E83"/>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0A4E"/>
    <w:rsid w:val="00E41418"/>
    <w:rsid w:val="00E41E04"/>
    <w:rsid w:val="00E42B28"/>
    <w:rsid w:val="00E4338C"/>
    <w:rsid w:val="00E44353"/>
    <w:rsid w:val="00E47095"/>
    <w:rsid w:val="00E472F7"/>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07F"/>
    <w:rsid w:val="00E746B8"/>
    <w:rsid w:val="00E7512D"/>
    <w:rsid w:val="00E76DC4"/>
    <w:rsid w:val="00E77859"/>
    <w:rsid w:val="00E8004A"/>
    <w:rsid w:val="00E80ABD"/>
    <w:rsid w:val="00E8101B"/>
    <w:rsid w:val="00E81A64"/>
    <w:rsid w:val="00E8264A"/>
    <w:rsid w:val="00E82769"/>
    <w:rsid w:val="00E84484"/>
    <w:rsid w:val="00E84F6F"/>
    <w:rsid w:val="00E875CE"/>
    <w:rsid w:val="00E87CC8"/>
    <w:rsid w:val="00E92D77"/>
    <w:rsid w:val="00E93EA7"/>
    <w:rsid w:val="00E94442"/>
    <w:rsid w:val="00E95637"/>
    <w:rsid w:val="00E97D9C"/>
    <w:rsid w:val="00EA0098"/>
    <w:rsid w:val="00EA17FB"/>
    <w:rsid w:val="00EA20C0"/>
    <w:rsid w:val="00EA3E60"/>
    <w:rsid w:val="00EA4E47"/>
    <w:rsid w:val="00EA52D9"/>
    <w:rsid w:val="00EA5845"/>
    <w:rsid w:val="00EB0A92"/>
    <w:rsid w:val="00EB104A"/>
    <w:rsid w:val="00EB11C1"/>
    <w:rsid w:val="00EB15D3"/>
    <w:rsid w:val="00EB1AE1"/>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6A33"/>
    <w:rsid w:val="00ED76E4"/>
    <w:rsid w:val="00EE0B35"/>
    <w:rsid w:val="00EE3284"/>
    <w:rsid w:val="00EE4DF4"/>
    <w:rsid w:val="00EE4F41"/>
    <w:rsid w:val="00EE6E2D"/>
    <w:rsid w:val="00EE6E98"/>
    <w:rsid w:val="00EE7011"/>
    <w:rsid w:val="00EF186C"/>
    <w:rsid w:val="00EF18A1"/>
    <w:rsid w:val="00EF25BA"/>
    <w:rsid w:val="00EF3C45"/>
    <w:rsid w:val="00EF48E2"/>
    <w:rsid w:val="00EF51AB"/>
    <w:rsid w:val="00EF55C7"/>
    <w:rsid w:val="00EF56F2"/>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636"/>
    <w:rsid w:val="00F153A1"/>
    <w:rsid w:val="00F175E2"/>
    <w:rsid w:val="00F178A8"/>
    <w:rsid w:val="00F202E1"/>
    <w:rsid w:val="00F20471"/>
    <w:rsid w:val="00F215D1"/>
    <w:rsid w:val="00F217BB"/>
    <w:rsid w:val="00F22367"/>
    <w:rsid w:val="00F22725"/>
    <w:rsid w:val="00F24611"/>
    <w:rsid w:val="00F25298"/>
    <w:rsid w:val="00F25FDD"/>
    <w:rsid w:val="00F26FF6"/>
    <w:rsid w:val="00F278EA"/>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BB2"/>
    <w:rsid w:val="00F41C46"/>
    <w:rsid w:val="00F437DE"/>
    <w:rsid w:val="00F43D5B"/>
    <w:rsid w:val="00F44116"/>
    <w:rsid w:val="00F44525"/>
    <w:rsid w:val="00F451EE"/>
    <w:rsid w:val="00F459CA"/>
    <w:rsid w:val="00F45A39"/>
    <w:rsid w:val="00F476B8"/>
    <w:rsid w:val="00F53452"/>
    <w:rsid w:val="00F54537"/>
    <w:rsid w:val="00F55A80"/>
    <w:rsid w:val="00F56432"/>
    <w:rsid w:val="00F61C83"/>
    <w:rsid w:val="00F61D43"/>
    <w:rsid w:val="00F63437"/>
    <w:rsid w:val="00F63EE8"/>
    <w:rsid w:val="00F652D5"/>
    <w:rsid w:val="00F65E9B"/>
    <w:rsid w:val="00F704FF"/>
    <w:rsid w:val="00F734DB"/>
    <w:rsid w:val="00F736BB"/>
    <w:rsid w:val="00F73E49"/>
    <w:rsid w:val="00F75BD7"/>
    <w:rsid w:val="00F77125"/>
    <w:rsid w:val="00F77F8A"/>
    <w:rsid w:val="00F806D1"/>
    <w:rsid w:val="00F80875"/>
    <w:rsid w:val="00F838AB"/>
    <w:rsid w:val="00F83DE7"/>
    <w:rsid w:val="00F856F9"/>
    <w:rsid w:val="00F85BB7"/>
    <w:rsid w:val="00F867D6"/>
    <w:rsid w:val="00F87486"/>
    <w:rsid w:val="00F91CE5"/>
    <w:rsid w:val="00F91E3A"/>
    <w:rsid w:val="00F92093"/>
    <w:rsid w:val="00F9223D"/>
    <w:rsid w:val="00F94B5E"/>
    <w:rsid w:val="00F96DC8"/>
    <w:rsid w:val="00F97C9F"/>
    <w:rsid w:val="00FA091D"/>
    <w:rsid w:val="00FA2694"/>
    <w:rsid w:val="00FA2756"/>
    <w:rsid w:val="00FA34A1"/>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28D"/>
    <w:rsid w:val="00FE5E7B"/>
    <w:rsid w:val="00FE5F09"/>
    <w:rsid w:val="00FE6157"/>
    <w:rsid w:val="00FE6A4B"/>
    <w:rsid w:val="00FE6C57"/>
    <w:rsid w:val="00FF0ECB"/>
    <w:rsid w:val="00FF1172"/>
    <w:rsid w:val="00FF24BA"/>
    <w:rsid w:val="00FF42D5"/>
    <w:rsid w:val="00FF45EB"/>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682BDF"/>
  <w15:docId w15:val="{BB4632BA-00D6-4D2C-8792-3FF02A85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49"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49"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9"/>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99"/>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5"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2DF"/>
    <w:pPr>
      <w:suppressAutoHyphens/>
      <w:spacing w:before="240" w:after="120" w:line="360" w:lineRule="auto"/>
    </w:pPr>
    <w:rPr>
      <w:rFonts w:asciiTheme="minorHAnsi" w:eastAsiaTheme="minorHAnsi" w:hAnsiTheme="minorHAnsi" w:cstheme="minorBidi"/>
      <w:color w:val="000F46" w:themeColor="background2"/>
      <w:sz w:val="21"/>
      <w:lang w:val="en-AU" w:eastAsia="en-US"/>
    </w:rPr>
  </w:style>
  <w:style w:type="paragraph" w:styleId="Heading1">
    <w:name w:val="heading 1"/>
    <w:basedOn w:val="Normal"/>
    <w:next w:val="Normal"/>
    <w:link w:val="Heading1Char"/>
    <w:uiPriority w:val="2"/>
    <w:qFormat/>
    <w:rsid w:val="001D7311"/>
    <w:pPr>
      <w:keepNext/>
      <w:spacing w:before="0" w:after="240" w:line="460" w:lineRule="atLeast"/>
      <w:outlineLvl w:val="0"/>
    </w:pPr>
    <w:rPr>
      <w:rFonts w:ascii="Georgia" w:eastAsiaTheme="majorEastAsia" w:hAnsi="Georgia" w:cstheme="majorBidi"/>
      <w:b/>
      <w:sz w:val="28"/>
      <w:szCs w:val="32"/>
    </w:rPr>
  </w:style>
  <w:style w:type="paragraph" w:styleId="Heading2">
    <w:name w:val="heading 2"/>
    <w:basedOn w:val="Normal"/>
    <w:next w:val="Normal"/>
    <w:link w:val="Heading2Char"/>
    <w:uiPriority w:val="2"/>
    <w:qFormat/>
    <w:rsid w:val="001D7311"/>
    <w:pPr>
      <w:keepNext/>
      <w:keepLines/>
      <w:spacing w:before="360" w:line="320" w:lineRule="atLeast"/>
      <w:outlineLvl w:val="1"/>
    </w:pPr>
    <w:rPr>
      <w:rFonts w:eastAsiaTheme="majorEastAsia" w:cstheme="majorBidi"/>
      <w:b/>
      <w:sz w:val="24"/>
      <w:szCs w:val="26"/>
    </w:rPr>
  </w:style>
  <w:style w:type="paragraph" w:styleId="Heading3">
    <w:name w:val="heading 3"/>
    <w:basedOn w:val="Normal"/>
    <w:next w:val="Normal"/>
    <w:link w:val="Heading3Char"/>
    <w:uiPriority w:val="2"/>
    <w:qFormat/>
    <w:rsid w:val="001D7311"/>
    <w:pPr>
      <w:keepNext/>
      <w:keepLines/>
      <w:outlineLvl w:val="2"/>
    </w:pPr>
    <w:rPr>
      <w:rFonts w:eastAsiaTheme="majorEastAsia" w:cstheme="majorBidi"/>
      <w:b/>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E20600"/>
    <w:pPr>
      <w:tabs>
        <w:tab w:val="right" w:leader="dot" w:pos="9628"/>
      </w:tabs>
      <w:spacing w:before="100" w:after="100" w:line="240" w:lineRule="atLeast"/>
    </w:pPr>
    <w:rPr>
      <w:rFonts w:asciiTheme="majorHAnsi" w:hAnsiTheme="majorHAnsi"/>
      <w:b/>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6956AF"/>
    <w:pPr>
      <w:spacing w:before="0" w:after="0" w:line="200" w:lineRule="atLeast"/>
    </w:pPr>
    <w:rPr>
      <w:rFonts w:asciiTheme="majorHAnsi" w:hAnsiTheme="majorHAnsi"/>
      <w:sz w:val="16"/>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3"/>
    <w:qFormat/>
    <w:rsid w:val="00906A73"/>
    <w:pPr>
      <w:numPr>
        <w:numId w:val="31"/>
      </w:numPr>
      <w:spacing w:before="120"/>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2F6257"/>
    <w:pPr>
      <w:numPr>
        <w:numId w:val="13"/>
      </w:numPr>
      <w:ind w:left="284" w:hanging="284"/>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466BBD"/>
    <w:rPr>
      <w:color w:val="0000FF"/>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3"/>
    <w:qFormat/>
    <w:rsid w:val="00906A73"/>
    <w:pPr>
      <w:numPr>
        <w:ilvl w:val="1"/>
        <w:numId w:val="31"/>
      </w:numPr>
      <w:spacing w:before="120"/>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6"/>
    <w:semiHidden/>
    <w:qFormat/>
    <w:rsid w:val="00961293"/>
    <w:pPr>
      <w:numPr>
        <w:numId w:val="28"/>
      </w:numPr>
      <w:spacing w:before="120"/>
    </w:pPr>
  </w:style>
  <w:style w:type="paragraph" w:styleId="ListNumber2">
    <w:name w:val="List Number 2"/>
    <w:basedOn w:val="Normal"/>
    <w:uiPriority w:val="6"/>
    <w:semiHidden/>
    <w:qFormat/>
    <w:rsid w:val="00961293"/>
    <w:pPr>
      <w:numPr>
        <w:ilvl w:val="1"/>
        <w:numId w:val="28"/>
      </w:numPr>
      <w:spacing w:before="120"/>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Spacing">
    <w:name w:val="No Spacing"/>
    <w:uiPriority w:val="5"/>
    <w:qFormat/>
    <w:rsid w:val="006E73FC"/>
    <w:rPr>
      <w:rFonts w:asciiTheme="minorHAnsi" w:eastAsiaTheme="minorHAnsi" w:hAnsiTheme="minorHAnsi" w:cstheme="minorBidi"/>
      <w:color w:val="000000" w:themeColor="text2"/>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uiPriority w:val="99"/>
    <w:semiHidden/>
    <w:rsid w:val="00C63303"/>
    <w:pPr>
      <w:ind w:left="720"/>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6956AF"/>
    <w:rPr>
      <w:rFonts w:asciiTheme="majorHAnsi" w:eastAsiaTheme="minorHAnsi" w:hAnsiTheme="majorHAnsi" w:cstheme="minorBidi"/>
      <w:color w:val="000F46" w:themeColor="background2"/>
      <w:sz w:val="16"/>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rsid w:val="00294057"/>
    <w:pPr>
      <w:spacing w:before="100" w:after="100" w:line="240" w:lineRule="atLeast"/>
    </w:pPr>
    <w:rPr>
      <w:color w:val="000000" w:themeColor="text1"/>
    </w:r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rsid w:val="004B42C0"/>
    <w:pPr>
      <w:pageBreakBefore/>
      <w:spacing w:after="480" w:line="440" w:lineRule="atLeast"/>
      <w:outlineLvl w:val="9"/>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uiPriority w:val="39"/>
    <w:rsid w:val="00E20600"/>
    <w:pPr>
      <w:tabs>
        <w:tab w:val="right" w:leader="dot" w:pos="9628"/>
      </w:tabs>
      <w:spacing w:before="100" w:after="100" w:line="240" w:lineRule="atLeast"/>
      <w:ind w:left="567" w:hanging="567"/>
    </w:pPr>
    <w:rPr>
      <w:rFonts w:asciiTheme="majorHAnsi" w:hAnsiTheme="majorHAnsi"/>
      <w:bCs/>
      <w:noProof/>
      <w:color w:val="000000" w:themeColor="text1"/>
    </w:rPr>
  </w:style>
  <w:style w:type="paragraph" w:styleId="TOC3">
    <w:name w:val="toc 3"/>
    <w:basedOn w:val="Normal"/>
    <w:next w:val="Normal"/>
    <w:uiPriority w:val="39"/>
    <w:rsid w:val="00E20600"/>
    <w:pPr>
      <w:tabs>
        <w:tab w:val="right" w:leader="dot" w:pos="9628"/>
      </w:tabs>
      <w:spacing w:before="100" w:after="100" w:line="240" w:lineRule="atLeast"/>
    </w:pPr>
    <w:rPr>
      <w:noProof/>
      <w:color w:val="000000" w:themeColor="text1"/>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6"/>
    <w:semiHidden/>
    <w:qFormat/>
    <w:rsid w:val="00961293"/>
    <w:pPr>
      <w:numPr>
        <w:ilvl w:val="2"/>
        <w:numId w:val="28"/>
      </w:numPr>
      <w:spacing w:before="120"/>
    </w:pPr>
  </w:style>
  <w:style w:type="paragraph" w:customStyle="1" w:styleId="LastPageContacts">
    <w:name w:val="LastPage_Contacts"/>
    <w:basedOn w:val="Normal"/>
    <w:uiPriority w:val="5"/>
    <w:qFormat/>
    <w:rsid w:val="00706463"/>
    <w:pPr>
      <w:spacing w:before="0"/>
    </w:pPr>
    <w:rPr>
      <w:color w:val="FFFFFF" w:themeColor="background1"/>
    </w:r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1D7311"/>
    <w:rPr>
      <w:rFonts w:asciiTheme="minorHAnsi" w:eastAsiaTheme="majorEastAsia" w:hAnsiTheme="minorHAnsi" w:cstheme="majorBidi"/>
      <w:b/>
      <w:color w:val="000F46" w:themeColor="background2"/>
      <w:sz w:val="24"/>
      <w:szCs w:val="26"/>
      <w:lang w:val="en-AU" w:eastAsia="en-US"/>
    </w:rPr>
  </w:style>
  <w:style w:type="numbering" w:customStyle="1" w:styleId="AppendixNumbers">
    <w:name w:val="Appendix Numbers"/>
    <w:uiPriority w:val="99"/>
    <w:rsid w:val="00466BBD"/>
    <w:pPr>
      <w:numPr>
        <w:numId w:val="14"/>
      </w:numPr>
    </w:pPr>
  </w:style>
  <w:style w:type="paragraph" w:customStyle="1" w:styleId="PulloutHeading">
    <w:name w:val="Pull out Heading"/>
    <w:basedOn w:val="Normal"/>
    <w:uiPriority w:val="9"/>
    <w:qFormat/>
    <w:rsid w:val="00C44719"/>
    <w:pPr>
      <w:keepNext/>
      <w:spacing w:before="120" w:line="320" w:lineRule="atLeast"/>
    </w:pPr>
    <w:rPr>
      <w:b/>
      <w:sz w:val="28"/>
    </w:rPr>
  </w:style>
  <w:style w:type="paragraph" w:customStyle="1" w:styleId="PulloutText">
    <w:name w:val="Pull out Text"/>
    <w:basedOn w:val="Normal"/>
    <w:uiPriority w:val="10"/>
    <w:qFormat/>
    <w:rsid w:val="009A04AF"/>
    <w:pPr>
      <w:spacing w:before="120"/>
    </w:pPr>
  </w:style>
  <w:style w:type="numbering" w:customStyle="1" w:styleId="DefaultBullets">
    <w:name w:val="Default Bullets"/>
    <w:uiPriority w:val="99"/>
    <w:rsid w:val="00906A73"/>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EA17FB"/>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rPr>
        <w:tblHeader/>
      </w:tr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EA17FB"/>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1D7311"/>
    <w:rPr>
      <w:rFonts w:ascii="Georgia" w:eastAsiaTheme="majorEastAsia" w:hAnsi="Georgia" w:cstheme="majorBidi"/>
      <w:b/>
      <w:color w:val="000F46" w:themeColor="background2"/>
      <w:sz w:val="28"/>
      <w:szCs w:val="32"/>
      <w:lang w:val="en-AU" w:eastAsia="en-US"/>
    </w:rPr>
  </w:style>
  <w:style w:type="paragraph" w:customStyle="1" w:styleId="Heading2Numbered">
    <w:name w:val="Heading 2 Numbered"/>
    <w:basedOn w:val="Heading2"/>
    <w:uiPriority w:val="2"/>
    <w:rsid w:val="00413A7B"/>
    <w:pPr>
      <w:numPr>
        <w:ilvl w:val="1"/>
        <w:numId w:val="27"/>
      </w:numPr>
      <w:spacing w:line="280" w:lineRule="atLeast"/>
    </w:pPr>
    <w:rPr>
      <w:color w:val="auto"/>
      <w:sz w:val="20"/>
    </w:rPr>
  </w:style>
  <w:style w:type="character" w:customStyle="1" w:styleId="Heading3Char">
    <w:name w:val="Heading 3 Char"/>
    <w:basedOn w:val="DefaultParagraphFont"/>
    <w:link w:val="Heading3"/>
    <w:uiPriority w:val="2"/>
    <w:rsid w:val="001D7311"/>
    <w:rPr>
      <w:rFonts w:asciiTheme="minorHAnsi" w:eastAsiaTheme="majorEastAsia" w:hAnsiTheme="minorHAnsi" w:cstheme="majorBidi"/>
      <w:b/>
      <w:color w:val="000F46" w:themeColor="background2"/>
      <w:sz w:val="22"/>
      <w:szCs w:val="24"/>
      <w:lang w:val="en-AU" w:eastAsia="en-US"/>
    </w:rPr>
  </w:style>
  <w:style w:type="paragraph" w:customStyle="1" w:styleId="Heading3Numbered">
    <w:name w:val="Heading 3 Numbered"/>
    <w:basedOn w:val="Heading3"/>
    <w:uiPriority w:val="2"/>
    <w:rsid w:val="003A3739"/>
    <w:pPr>
      <w:numPr>
        <w:ilvl w:val="2"/>
        <w:numId w:val="27"/>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806315"/>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3"/>
    <w:rsid w:val="00906A73"/>
    <w:pPr>
      <w:numPr>
        <w:ilvl w:val="2"/>
        <w:numId w:val="31"/>
      </w:numPr>
      <w:spacing w:before="120"/>
    </w:pPr>
  </w:style>
  <w:style w:type="paragraph" w:customStyle="1" w:styleId="Heading1Numbered">
    <w:name w:val="Heading 1 Numbered"/>
    <w:basedOn w:val="Heading1"/>
    <w:uiPriority w:val="2"/>
    <w:qFormat/>
    <w:rsid w:val="00413A7B"/>
    <w:pPr>
      <w:numPr>
        <w:numId w:val="27"/>
      </w:numPr>
      <w:spacing w:line="320" w:lineRule="atLeast"/>
    </w:pPr>
  </w:style>
  <w:style w:type="paragraph" w:customStyle="1" w:styleId="CoverTitle">
    <w:name w:val="Cover Title"/>
    <w:basedOn w:val="Normal"/>
    <w:qFormat/>
    <w:rsid w:val="00577B5D"/>
    <w:pPr>
      <w:suppressAutoHyphens w:val="0"/>
      <w:spacing w:after="360" w:line="800" w:lineRule="atLeast"/>
      <w:ind w:left="340" w:right="340"/>
      <w:outlineLvl w:val="0"/>
    </w:pPr>
    <w:rPr>
      <w:rFonts w:asciiTheme="majorHAnsi" w:eastAsiaTheme="majorEastAsia" w:hAnsiTheme="majorHAnsi" w:cstheme="majorBidi"/>
      <w:bCs/>
      <w:color w:val="FFFFFF" w:themeColor="background1"/>
      <w:kern w:val="28"/>
      <w:sz w:val="72"/>
      <w:szCs w:val="56"/>
    </w:rPr>
  </w:style>
  <w:style w:type="character" w:styleId="PlaceholderText">
    <w:name w:val="Placeholder Text"/>
    <w:basedOn w:val="DefaultParagraphFont"/>
    <w:uiPriority w:val="99"/>
    <w:rsid w:val="003C60E6"/>
    <w:rPr>
      <w:color w:val="808080"/>
    </w:rPr>
  </w:style>
  <w:style w:type="character" w:styleId="FootnoteReference">
    <w:name w:val="footnote reference"/>
    <w:basedOn w:val="DefaultParagraphFont"/>
    <w:uiPriority w:val="99"/>
    <w:semiHidden/>
    <w:unhideWhenUsed/>
    <w:rsid w:val="00404884"/>
    <w:rPr>
      <w:vertAlign w:val="superscript"/>
    </w:rPr>
  </w:style>
  <w:style w:type="paragraph" w:customStyle="1" w:styleId="Intro">
    <w:name w:val="Intro"/>
    <w:basedOn w:val="Normal"/>
    <w:uiPriority w:val="1"/>
    <w:qFormat/>
    <w:rsid w:val="0057724F"/>
    <w:pPr>
      <w:spacing w:line="480" w:lineRule="atLeast"/>
    </w:pPr>
    <w:rPr>
      <w:sz w:val="44"/>
    </w:rPr>
  </w:style>
  <w:style w:type="paragraph" w:customStyle="1" w:styleId="DividerTitle">
    <w:name w:val="Divider Title"/>
    <w:basedOn w:val="CoverTitle"/>
    <w:uiPriority w:val="5"/>
    <w:qFormat/>
    <w:rsid w:val="007D09C8"/>
  </w:style>
  <w:style w:type="table" w:customStyle="1" w:styleId="UniofMelTable3">
    <w:name w:val="Uni of Mel_Table3"/>
    <w:basedOn w:val="TableNormal"/>
    <w:uiPriority w:val="99"/>
    <w:rsid w:val="00EA17FB"/>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rPr>
        <w:tblHeader/>
      </w:tr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paragraph" w:customStyle="1" w:styleId="Identifier">
    <w:name w:val="Identifier"/>
    <w:basedOn w:val="NoSpacing"/>
    <w:qFormat/>
    <w:rsid w:val="00061479"/>
    <w:pPr>
      <w:framePr w:hSpace="181" w:wrap="around" w:vAnchor="page" w:hAnchor="margin" w:xAlign="center" w:y="568"/>
      <w:spacing w:before="200" w:after="120"/>
      <w:ind w:left="170" w:right="170"/>
      <w:suppressOverlap/>
    </w:pPr>
    <w:rPr>
      <w:b/>
      <w:color w:val="000F46" w:themeColor="background2"/>
    </w:rPr>
  </w:style>
  <w:style w:type="paragraph" w:styleId="Caption">
    <w:name w:val="caption"/>
    <w:basedOn w:val="Normal"/>
    <w:next w:val="Normal"/>
    <w:uiPriority w:val="99"/>
    <w:unhideWhenUsed/>
    <w:qFormat/>
    <w:rsid w:val="00E20600"/>
    <w:pPr>
      <w:spacing w:before="0" w:after="240" w:line="240" w:lineRule="atLeast"/>
    </w:pPr>
    <w:rPr>
      <w:b/>
      <w:iCs/>
      <w:color w:val="000000" w:themeColor="text2"/>
      <w:szCs w:val="18"/>
    </w:rPr>
  </w:style>
  <w:style w:type="paragraph" w:customStyle="1" w:styleId="ToCHeading2">
    <w:name w:val="ToC Heading 2"/>
    <w:basedOn w:val="TOCHeading"/>
    <w:qFormat/>
    <w:rsid w:val="004B42C0"/>
    <w:pPr>
      <w:pageBreakBefore w:val="0"/>
    </w:pPr>
  </w:style>
  <w:style w:type="paragraph" w:styleId="Revision">
    <w:name w:val="Revision"/>
    <w:hidden/>
    <w:uiPriority w:val="99"/>
    <w:semiHidden/>
    <w:rsid w:val="00E00F07"/>
    <w:rPr>
      <w:rFonts w:asciiTheme="minorHAnsi" w:eastAsiaTheme="minorHAnsi" w:hAnsiTheme="minorHAnsi" w:cstheme="minorBidi"/>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731726">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289773972">
      <w:bodyDiv w:val="1"/>
      <w:marLeft w:val="0"/>
      <w:marRight w:val="0"/>
      <w:marTop w:val="0"/>
      <w:marBottom w:val="0"/>
      <w:divBdr>
        <w:top w:val="none" w:sz="0" w:space="0" w:color="auto"/>
        <w:left w:val="none" w:sz="0" w:space="0" w:color="auto"/>
        <w:bottom w:val="none" w:sz="0" w:space="0" w:color="auto"/>
        <w:right w:val="none" w:sz="0" w:space="0" w:color="auto"/>
      </w:divBdr>
    </w:div>
    <w:div w:id="1911229139">
      <w:bodyDiv w:val="1"/>
      <w:marLeft w:val="0"/>
      <w:marRight w:val="0"/>
      <w:marTop w:val="0"/>
      <w:marBottom w:val="0"/>
      <w:divBdr>
        <w:top w:val="none" w:sz="0" w:space="0" w:color="auto"/>
        <w:left w:val="none" w:sz="0" w:space="0" w:color="auto"/>
        <w:bottom w:val="none" w:sz="0" w:space="0" w:color="auto"/>
        <w:right w:val="none" w:sz="0" w:space="0" w:color="auto"/>
      </w:divBdr>
    </w:div>
    <w:div w:id="196942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out.unimelb.edu.au/education-melbourne/assuring-learning-at-melbourne/secure-assessment/interactive-oral-assessment" TargetMode="External"/><Relationship Id="rId18" Type="http://schemas.openxmlformats.org/officeDocument/2006/relationships/hyperlink" Target="https://www.unimelb.edu.au/tli/news/articles/interactive-oral-assessments" TargetMode="External"/><Relationship Id="rId26" Type="http://schemas.openxmlformats.org/officeDocument/2006/relationships/hyperlink" Target="https://educational-innovation.sydney.edu.au/teaching@sydney/five-myths-about-interactive-oral-assessments-and-how-to-get-started/" TargetMode="External"/><Relationship Id="rId39" Type="http://schemas.openxmlformats.org/officeDocument/2006/relationships/fontTable" Target="fontTable.xml"/><Relationship Id="rId21" Type="http://schemas.openxmlformats.org/officeDocument/2006/relationships/hyperlink" Target="https://teachwell.auckland.ac.nz/assessment/interactive-oral-assessments/" TargetMode="External"/><Relationship Id="rId34" Type="http://schemas.openxmlformats.org/officeDocument/2006/relationships/hyperlink" Target="https://doi.org/10.1080/02602938.2021.2020722"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unimelb.edu.au/tli" TargetMode="External"/><Relationship Id="rId25" Type="http://schemas.openxmlformats.org/officeDocument/2006/relationships/hyperlink" Target="https://unidistance.ch/en/edudl-resources/article-edudl/interactive-oral-assessments-a-meaningful-option-for-your-module" TargetMode="External"/><Relationship Id="rId33" Type="http://schemas.openxmlformats.org/officeDocument/2006/relationships/hyperlink" Target="https://doi.org/10.1080/03075079.2019.1582015"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nimelb.edu.au/tli/news/articles/interactive-oral-assessments" TargetMode="External"/><Relationship Id="rId20" Type="http://schemas.openxmlformats.org/officeDocument/2006/relationships/hyperlink" Target="https://about.unimelb.edu.au/education-melbourne/assuring-learning-at-melbourne/secure-assessment/interactive-oral-assessment" TargetMode="External"/><Relationship Id="rId29" Type="http://schemas.openxmlformats.org/officeDocument/2006/relationships/hyperlink" Target="https://app.secure.griffith.edu.au/exlnt/uploads/attachments/09569/493e94a4b8454848830a005e9397a32c614f745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cu.ie/teu/interactive-oral-assessment" TargetMode="External"/><Relationship Id="rId32" Type="http://schemas.openxmlformats.org/officeDocument/2006/relationships/hyperlink" Target="https://doi.org/10.1080/14703297.2025.2477160" TargetMode="External"/><Relationship Id="rId37" Type="http://schemas.openxmlformats.org/officeDocument/2006/relationships/image" Target="media/image3.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bout.unimelb.edu.au/education-melbourne/assuring-learning-at-melbourne/secure-assessment" TargetMode="External"/><Relationship Id="rId23" Type="http://schemas.openxmlformats.org/officeDocument/2006/relationships/hyperlink" Target="https://www.csu.edu.au/division/learning-teaching/assessments/assessment-types/interactive-oral-assessment" TargetMode="External"/><Relationship Id="rId28" Type="http://schemas.openxmlformats.org/officeDocument/2006/relationships/hyperlink" Target="https://doi.org/10.53761/4hg1me11" TargetMode="External"/><Relationship Id="rId36" Type="http://schemas.openxmlformats.org/officeDocument/2006/relationships/hyperlink" Target="https://doi.org/10.1080/14703297.2023.2251967" TargetMode="External"/><Relationship Id="rId10" Type="http://schemas.openxmlformats.org/officeDocument/2006/relationships/endnotes" Target="endnotes.xml"/><Relationship Id="rId19" Type="http://schemas.openxmlformats.org/officeDocument/2006/relationships/hyperlink" Target="https://about.unimelb.edu.au/education-melbourne" TargetMode="External"/><Relationship Id="rId31" Type="http://schemas.openxmlformats.org/officeDocument/2006/relationships/hyperlink" Target="http://www.dcu.ie/sites/default/files/inline-files/interactive-oral-io-user-guide_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melb.edu.au/tli/news/articles/interactive-oral-assessments" TargetMode="External"/><Relationship Id="rId22" Type="http://schemas.openxmlformats.org/officeDocument/2006/relationships/hyperlink" Target="https://sway.cloud.microsoft/yQ2s0Bm3ILkWtGll?ref=Link" TargetMode="External"/><Relationship Id="rId27" Type="http://schemas.openxmlformats.org/officeDocument/2006/relationships/hyperlink" Target="https://cdn.csu.edu.au/__data/assets/pdf_file/0003/4352061/Interactive-Oral-Assessments-User-Guide.pdf" TargetMode="External"/><Relationship Id="rId30" Type="http://schemas.openxmlformats.org/officeDocument/2006/relationships/hyperlink" Target="https://sway.cloud.microsoft/yQ2s0Bm3ILkWtGll?ref=Link" TargetMode="External"/><Relationship Id="rId35" Type="http://schemas.openxmlformats.org/officeDocument/2006/relationships/hyperlink" Target="https://teachwell.auckland.ac.nz/assessment/interactive-oral-assessmen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rine\Downloads\Report_University-of-Melbourne(2).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Possum (Light)">
      <a:srgbClr val="EB7BBE"/>
    </a:custClr>
    <a:custClr name="Yam Daisy (Dark)">
      <a:srgbClr val="A84500"/>
    </a:custClr>
    <a:custClr name="Yam Daisy (Light)">
      <a:srgbClr val="FFD629"/>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BD4F47F3A3884CB9F6C64430414D85" ma:contentTypeVersion="6" ma:contentTypeDescription="Create a new document." ma:contentTypeScope="" ma:versionID="541a40adef86cb8b756db625276c043e">
  <xsd:schema xmlns:xsd="http://www.w3.org/2001/XMLSchema" xmlns:xs="http://www.w3.org/2001/XMLSchema" xmlns:p="http://schemas.microsoft.com/office/2006/metadata/properties" xmlns:ns2="678a64e7-f161-402a-9cd0-efe4e1d5929f" xmlns:ns3="3bbf7e5f-8627-4322-99fa-9b1b58cbafe0" targetNamespace="http://schemas.microsoft.com/office/2006/metadata/properties" ma:root="true" ma:fieldsID="f727cf6d3c5a41fd263bafd596834272" ns2:_="" ns3:_="">
    <xsd:import namespace="678a64e7-f161-402a-9cd0-efe4e1d5929f"/>
    <xsd:import namespace="3bbf7e5f-8627-4322-99fa-9b1b58cbaf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a64e7-f161-402a-9cd0-efe4e1d59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bf7e5f-8627-4322-99fa-9b1b58cbaf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92FB5D-1F05-4A09-A97E-3591A010C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a64e7-f161-402a-9cd0-efe4e1d5929f"/>
    <ds:schemaRef ds:uri="3bbf7e5f-8627-4322-99fa-9b1b58cbaf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77E13F-0363-4FB5-9CBC-B9DC9B971202}">
  <ds:schemaRefs>
    <ds:schemaRef ds:uri="http://schemas.microsoft.com/sharepoint/v3/contenttype/forms"/>
  </ds:schemaRefs>
</ds:datastoreItem>
</file>

<file path=customXml/itemProps3.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4.xml><?xml version="1.0" encoding="utf-8"?>
<ds:datastoreItem xmlns:ds="http://schemas.openxmlformats.org/officeDocument/2006/customXml" ds:itemID="{685031BA-6F46-4994-9896-D50A41232E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Report_University-of-Melbourne(2)</Template>
  <TotalTime>459</TotalTime>
  <Pages>14</Pages>
  <Words>5428</Words>
  <Characters>30942</Characters>
  <Application>Microsoft Office Word</Application>
  <DocSecurity>8</DocSecurity>
  <Lines>257</Lines>
  <Paragraphs>72</Paragraphs>
  <ScaleCrop>false</ScaleCrop>
  <HeadingPairs>
    <vt:vector size="2" baseType="variant">
      <vt:variant>
        <vt:lpstr>Title</vt:lpstr>
      </vt:variant>
      <vt:variant>
        <vt:i4>1</vt:i4>
      </vt:variant>
    </vt:vector>
  </HeadingPairs>
  <TitlesOfParts>
    <vt:vector size="1" baseType="lpstr">
      <vt:lpstr>Designing more inclusive assessment</vt:lpstr>
    </vt:vector>
  </TitlesOfParts>
  <Company>University of Melbourne</Company>
  <LinksUpToDate>false</LinksUpToDate>
  <CharactersWithSpaces>36298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Oral Assessments</dc:title>
  <dc:creator>Sheirine Gunawan</dc:creator>
  <cp:lastModifiedBy>Sheirine Gunawan</cp:lastModifiedBy>
  <cp:revision>97</cp:revision>
  <cp:lastPrinted>2024-11-19T23:14:00Z</cp:lastPrinted>
  <dcterms:created xsi:type="dcterms:W3CDTF">2024-11-19T03:55:00Z</dcterms:created>
  <dcterms:modified xsi:type="dcterms:W3CDTF">2025-07-14T02:31:00Z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0x010100A7BD4F47F3A3884CB9F6C64430414D85</vt:lpwstr>
  </property>
</Properties>
</file>